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9C5" w:rsidRDefault="00D529C5" w:rsidP="00EA3BBD">
      <w:pPr>
        <w:pStyle w:val="TOC1"/>
        <w:tabs>
          <w:tab w:val="right" w:leader="dot" w:pos="8778"/>
        </w:tabs>
        <w:jc w:val="center"/>
        <w:rPr>
          <w:rStyle w:val="Strong"/>
          <w:rFonts w:cs="Tahoma"/>
          <w:i w:val="0"/>
          <w:sz w:val="32"/>
          <w:szCs w:val="32"/>
          <w:shd w:val="clear" w:color="auto" w:fill="FFFFFF"/>
        </w:rPr>
      </w:pPr>
      <w:bookmarkStart w:id="0" w:name="intro"/>
      <w:r w:rsidRPr="00EA3BBD">
        <w:rPr>
          <w:rStyle w:val="Strong"/>
          <w:rFonts w:cs="Tahoma"/>
          <w:i w:val="0"/>
          <w:sz w:val="32"/>
          <w:szCs w:val="32"/>
          <w:shd w:val="clear" w:color="auto" w:fill="FFFFFF"/>
        </w:rPr>
        <w:t>19° Simposio sobre Legislación Tributaria</w:t>
      </w:r>
    </w:p>
    <w:p w:rsidR="00D529C5" w:rsidRPr="00353AB6" w:rsidRDefault="00D529C5" w:rsidP="00353AB6">
      <w:pPr>
        <w:rPr>
          <w:rStyle w:val="Strong"/>
          <w:rFonts w:hAnsi="Calibri" w:cs="Tahoma"/>
          <w:sz w:val="32"/>
          <w:szCs w:val="32"/>
          <w:shd w:val="clear" w:color="auto" w:fill="FFFFFF"/>
        </w:rPr>
      </w:pPr>
      <w:r w:rsidRPr="00353AB6">
        <w:rPr>
          <w:rStyle w:val="Strong"/>
          <w:rFonts w:hAnsi="Calibri" w:cs="Tahoma"/>
          <w:sz w:val="32"/>
          <w:szCs w:val="32"/>
          <w:shd w:val="clear" w:color="auto" w:fill="FFFFFF"/>
        </w:rPr>
        <w:t>Comisión N° 1: Tratamiento de rentas y bienes del exterior</w:t>
      </w:r>
    </w:p>
    <w:p w:rsidR="00D529C5" w:rsidRPr="00EA3BBD" w:rsidRDefault="00D529C5" w:rsidP="00EA3BBD">
      <w:pPr>
        <w:pStyle w:val="TOC1"/>
        <w:tabs>
          <w:tab w:val="right" w:leader="dot" w:pos="8778"/>
        </w:tabs>
        <w:jc w:val="center"/>
        <w:rPr>
          <w:rStyle w:val="Strong"/>
          <w:rFonts w:cs="Tahoma"/>
          <w:i w:val="0"/>
          <w:sz w:val="32"/>
          <w:szCs w:val="32"/>
          <w:shd w:val="clear" w:color="auto" w:fill="FFFFFF"/>
        </w:rPr>
      </w:pPr>
      <w:r>
        <w:rPr>
          <w:rStyle w:val="Strong"/>
          <w:rFonts w:cs="Tahoma"/>
          <w:i w:val="0"/>
          <w:sz w:val="32"/>
          <w:szCs w:val="32"/>
          <w:shd w:val="clear" w:color="auto" w:fill="FFFFFF"/>
        </w:rPr>
        <w:t>“Renta de Fuente Extranjera. Canales usuales de inversión</w:t>
      </w:r>
      <w:r w:rsidRPr="00EA3BBD">
        <w:rPr>
          <w:rStyle w:val="Strong"/>
          <w:rFonts w:cs="Tahoma"/>
          <w:i w:val="0"/>
          <w:sz w:val="32"/>
          <w:szCs w:val="32"/>
          <w:shd w:val="clear" w:color="auto" w:fill="FFFFFF"/>
        </w:rPr>
        <w:t>”</w:t>
      </w:r>
    </w:p>
    <w:p w:rsidR="00D529C5" w:rsidRPr="00EA3BBD" w:rsidRDefault="00D529C5" w:rsidP="00EA3BBD">
      <w:pPr>
        <w:jc w:val="center"/>
        <w:rPr>
          <w:rFonts w:hAnsi="Calibri"/>
          <w:b/>
          <w:sz w:val="32"/>
          <w:szCs w:val="32"/>
        </w:rPr>
      </w:pPr>
      <w:r>
        <w:rPr>
          <w:rFonts w:hAnsi="Calibri"/>
          <w:b/>
          <w:sz w:val="32"/>
          <w:szCs w:val="32"/>
        </w:rPr>
        <w:t xml:space="preserve">Dra. </w:t>
      </w:r>
      <w:r w:rsidRPr="00EA3BBD">
        <w:rPr>
          <w:rFonts w:hAnsi="Calibri"/>
          <w:b/>
          <w:sz w:val="32"/>
          <w:szCs w:val="32"/>
        </w:rPr>
        <w:t>CP Graciela V. Liquin</w:t>
      </w:r>
    </w:p>
    <w:p w:rsidR="00D529C5" w:rsidRDefault="00D529C5" w:rsidP="00EA3BBD"/>
    <w:bookmarkStart w:id="1" w:name="_GoBack"/>
    <w:bookmarkEnd w:id="1"/>
    <w:p w:rsidR="00D529C5" w:rsidRDefault="00D529C5">
      <w:pPr>
        <w:pStyle w:val="TOC1"/>
        <w:tabs>
          <w:tab w:val="left" w:pos="442"/>
          <w:tab w:val="right" w:leader="dot" w:pos="8778"/>
        </w:tabs>
        <w:rPr>
          <w:rFonts w:cs="Times New Roman"/>
          <w:bCs w:val="0"/>
          <w:i w:val="0"/>
          <w:noProof/>
          <w:sz w:val="22"/>
          <w:szCs w:val="22"/>
        </w:rPr>
      </w:pPr>
      <w:r w:rsidRPr="0061532E">
        <w:rPr>
          <w:bCs w:val="0"/>
          <w:i w:val="0"/>
          <w:caps/>
          <w:sz w:val="22"/>
          <w:szCs w:val="22"/>
        </w:rPr>
        <w:fldChar w:fldCharType="begin"/>
      </w:r>
      <w:r w:rsidRPr="0061532E">
        <w:rPr>
          <w:bCs w:val="0"/>
          <w:i w:val="0"/>
          <w:caps/>
          <w:sz w:val="22"/>
          <w:szCs w:val="22"/>
        </w:rPr>
        <w:instrText xml:space="preserve"> TOC \o "1-6" \h \z \u </w:instrText>
      </w:r>
      <w:r w:rsidRPr="0061532E">
        <w:rPr>
          <w:bCs w:val="0"/>
          <w:i w:val="0"/>
          <w:caps/>
          <w:sz w:val="22"/>
          <w:szCs w:val="22"/>
        </w:rPr>
        <w:fldChar w:fldCharType="separate"/>
      </w:r>
      <w:hyperlink w:anchor="_Toc492313311" w:history="1">
        <w:r w:rsidRPr="00D9390B">
          <w:rPr>
            <w:rStyle w:val="Hyperlink"/>
            <w:rFonts w:cs="Calibri"/>
            <w:noProof/>
          </w:rPr>
          <w:t>1.</w:t>
        </w:r>
        <w:r>
          <w:rPr>
            <w:rFonts w:cs="Times New Roman"/>
            <w:bCs w:val="0"/>
            <w:i w:val="0"/>
            <w:noProof/>
            <w:sz w:val="22"/>
            <w:szCs w:val="22"/>
          </w:rPr>
          <w:tab/>
        </w:r>
        <w:r w:rsidRPr="00D9390B">
          <w:rPr>
            <w:rStyle w:val="Hyperlink"/>
            <w:rFonts w:cs="Calibri"/>
            <w:noProof/>
          </w:rPr>
          <w:t>Introducción</w:t>
        </w:r>
        <w:r>
          <w:rPr>
            <w:noProof/>
            <w:webHidden/>
          </w:rPr>
          <w:tab/>
        </w:r>
        <w:r>
          <w:rPr>
            <w:noProof/>
            <w:webHidden/>
          </w:rPr>
          <w:fldChar w:fldCharType="begin"/>
        </w:r>
        <w:r>
          <w:rPr>
            <w:noProof/>
            <w:webHidden/>
          </w:rPr>
          <w:instrText xml:space="preserve"> PAGEREF _Toc492313311 \h </w:instrText>
        </w:r>
        <w:r>
          <w:rPr>
            <w:noProof/>
            <w:webHidden/>
          </w:rPr>
        </w:r>
        <w:r>
          <w:rPr>
            <w:noProof/>
            <w:webHidden/>
          </w:rPr>
          <w:fldChar w:fldCharType="separate"/>
        </w:r>
        <w:r>
          <w:rPr>
            <w:noProof/>
            <w:webHidden/>
          </w:rPr>
          <w:t>3</w:t>
        </w:r>
        <w:r>
          <w:rPr>
            <w:noProof/>
            <w:webHidden/>
          </w:rPr>
          <w:fldChar w:fldCharType="end"/>
        </w:r>
      </w:hyperlink>
    </w:p>
    <w:p w:rsidR="00D529C5" w:rsidRDefault="00D529C5">
      <w:pPr>
        <w:pStyle w:val="TOC1"/>
        <w:tabs>
          <w:tab w:val="left" w:pos="442"/>
          <w:tab w:val="right" w:leader="dot" w:pos="8778"/>
        </w:tabs>
        <w:rPr>
          <w:rFonts w:cs="Times New Roman"/>
          <w:bCs w:val="0"/>
          <w:i w:val="0"/>
          <w:noProof/>
          <w:sz w:val="22"/>
          <w:szCs w:val="22"/>
        </w:rPr>
      </w:pPr>
      <w:hyperlink w:anchor="_Toc492313312" w:history="1">
        <w:r w:rsidRPr="00D9390B">
          <w:rPr>
            <w:rStyle w:val="Hyperlink"/>
            <w:rFonts w:cs="Calibri"/>
            <w:noProof/>
          </w:rPr>
          <w:t>2.</w:t>
        </w:r>
        <w:r>
          <w:rPr>
            <w:rFonts w:cs="Times New Roman"/>
            <w:bCs w:val="0"/>
            <w:i w:val="0"/>
            <w:noProof/>
            <w:sz w:val="22"/>
            <w:szCs w:val="22"/>
          </w:rPr>
          <w:tab/>
        </w:r>
        <w:r w:rsidRPr="00D9390B">
          <w:rPr>
            <w:rStyle w:val="Hyperlink"/>
            <w:rFonts w:cs="Calibri"/>
            <w:noProof/>
          </w:rPr>
          <w:t>Formas frecuentes de inversión en el exterior</w:t>
        </w:r>
        <w:r>
          <w:rPr>
            <w:noProof/>
            <w:webHidden/>
          </w:rPr>
          <w:tab/>
        </w:r>
        <w:r>
          <w:rPr>
            <w:noProof/>
            <w:webHidden/>
          </w:rPr>
          <w:fldChar w:fldCharType="begin"/>
        </w:r>
        <w:r>
          <w:rPr>
            <w:noProof/>
            <w:webHidden/>
          </w:rPr>
          <w:instrText xml:space="preserve"> PAGEREF _Toc492313312 \h </w:instrText>
        </w:r>
        <w:r>
          <w:rPr>
            <w:noProof/>
            <w:webHidden/>
          </w:rPr>
        </w:r>
        <w:r>
          <w:rPr>
            <w:noProof/>
            <w:webHidden/>
          </w:rPr>
          <w:fldChar w:fldCharType="separate"/>
        </w:r>
        <w:r>
          <w:rPr>
            <w:noProof/>
            <w:webHidden/>
          </w:rPr>
          <w:t>3</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13" w:history="1">
        <w:r w:rsidRPr="00D9390B">
          <w:rPr>
            <w:rStyle w:val="Hyperlink"/>
            <w:rFonts w:cs="Calibri"/>
            <w:noProof/>
          </w:rPr>
          <w:t>2.1.</w:t>
        </w:r>
        <w:r>
          <w:rPr>
            <w:rFonts w:cs="Times New Roman"/>
            <w:i w:val="0"/>
            <w:noProof/>
            <w:sz w:val="22"/>
            <w:szCs w:val="22"/>
          </w:rPr>
          <w:tab/>
        </w:r>
        <w:r w:rsidRPr="00D9390B">
          <w:rPr>
            <w:rStyle w:val="Hyperlink"/>
            <w:rFonts w:cs="Calibri"/>
            <w:noProof/>
          </w:rPr>
          <w:t>De forma directa</w:t>
        </w:r>
        <w:r>
          <w:rPr>
            <w:noProof/>
            <w:webHidden/>
          </w:rPr>
          <w:tab/>
        </w:r>
        <w:r>
          <w:rPr>
            <w:noProof/>
            <w:webHidden/>
          </w:rPr>
          <w:fldChar w:fldCharType="begin"/>
        </w:r>
        <w:r>
          <w:rPr>
            <w:noProof/>
            <w:webHidden/>
          </w:rPr>
          <w:instrText xml:space="preserve"> PAGEREF _Toc492313313 \h </w:instrText>
        </w:r>
        <w:r>
          <w:rPr>
            <w:noProof/>
            <w:webHidden/>
          </w:rPr>
        </w:r>
        <w:r>
          <w:rPr>
            <w:noProof/>
            <w:webHidden/>
          </w:rPr>
          <w:fldChar w:fldCharType="separate"/>
        </w:r>
        <w:r>
          <w:rPr>
            <w:noProof/>
            <w:webHidden/>
          </w:rPr>
          <w:t>3</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14" w:history="1">
        <w:r w:rsidRPr="00D9390B">
          <w:rPr>
            <w:rStyle w:val="Hyperlink"/>
            <w:rFonts w:cs="Calibri"/>
            <w:noProof/>
          </w:rPr>
          <w:t>2.1.1.</w:t>
        </w:r>
        <w:r>
          <w:rPr>
            <w:rFonts w:cs="Times New Roman"/>
            <w:i w:val="0"/>
            <w:iCs w:val="0"/>
            <w:noProof/>
            <w:sz w:val="22"/>
            <w:szCs w:val="22"/>
          </w:rPr>
          <w:tab/>
        </w:r>
        <w:r w:rsidRPr="00D9390B">
          <w:rPr>
            <w:rStyle w:val="Hyperlink"/>
            <w:rFonts w:cs="Calibri"/>
            <w:noProof/>
          </w:rPr>
          <w:t>Inversiones en inmuebles</w:t>
        </w:r>
        <w:r>
          <w:rPr>
            <w:noProof/>
            <w:webHidden/>
          </w:rPr>
          <w:tab/>
        </w:r>
        <w:r>
          <w:rPr>
            <w:noProof/>
            <w:webHidden/>
          </w:rPr>
          <w:fldChar w:fldCharType="begin"/>
        </w:r>
        <w:r>
          <w:rPr>
            <w:noProof/>
            <w:webHidden/>
          </w:rPr>
          <w:instrText xml:space="preserve"> PAGEREF _Toc492313314 \h </w:instrText>
        </w:r>
        <w:r>
          <w:rPr>
            <w:noProof/>
            <w:webHidden/>
          </w:rPr>
        </w:r>
        <w:r>
          <w:rPr>
            <w:noProof/>
            <w:webHidden/>
          </w:rPr>
          <w:fldChar w:fldCharType="separate"/>
        </w:r>
        <w:r>
          <w:rPr>
            <w:noProof/>
            <w:webHidden/>
          </w:rPr>
          <w:t>3</w:t>
        </w:r>
        <w:r>
          <w:rPr>
            <w:noProof/>
            <w:webHidden/>
          </w:rPr>
          <w:fldChar w:fldCharType="end"/>
        </w:r>
      </w:hyperlink>
    </w:p>
    <w:p w:rsidR="00D529C5" w:rsidRPr="00B61F70" w:rsidRDefault="00D529C5">
      <w:pPr>
        <w:pStyle w:val="TOC4"/>
        <w:tabs>
          <w:tab w:val="left" w:pos="1100"/>
        </w:tabs>
        <w:rPr>
          <w:rFonts w:cs="Times New Roman"/>
          <w:i w:val="0"/>
          <w:sz w:val="22"/>
          <w:szCs w:val="22"/>
        </w:rPr>
      </w:pPr>
      <w:hyperlink w:anchor="_Toc492313315" w:history="1">
        <w:r w:rsidRPr="00B61F70">
          <w:rPr>
            <w:rStyle w:val="Hyperlink"/>
            <w:rFonts w:cs="Calibri"/>
          </w:rPr>
          <w:t>A.</w:t>
        </w:r>
        <w:r w:rsidRPr="00B61F70">
          <w:rPr>
            <w:rFonts w:cs="Times New Roman"/>
            <w:i w:val="0"/>
            <w:sz w:val="22"/>
            <w:szCs w:val="22"/>
          </w:rPr>
          <w:tab/>
        </w:r>
        <w:r w:rsidRPr="00B61F70">
          <w:rPr>
            <w:rStyle w:val="Hyperlink"/>
            <w:rFonts w:cs="Calibri"/>
          </w:rPr>
          <w:t>Distintos temas vinculados a inmuebles</w:t>
        </w:r>
        <w:r w:rsidRPr="00B61F70">
          <w:rPr>
            <w:webHidden/>
          </w:rPr>
          <w:tab/>
        </w:r>
        <w:r w:rsidRPr="00B61F70">
          <w:rPr>
            <w:webHidden/>
          </w:rPr>
          <w:fldChar w:fldCharType="begin"/>
        </w:r>
        <w:r w:rsidRPr="00B61F70">
          <w:rPr>
            <w:webHidden/>
          </w:rPr>
          <w:instrText xml:space="preserve"> PAGEREF _Toc492313315 \h </w:instrText>
        </w:r>
        <w:r w:rsidRPr="00B61F70">
          <w:rPr>
            <w:webHidden/>
          </w:rPr>
        </w:r>
        <w:r w:rsidRPr="00B61F70">
          <w:rPr>
            <w:webHidden/>
          </w:rPr>
          <w:fldChar w:fldCharType="separate"/>
        </w:r>
        <w:r w:rsidRPr="00B61F70">
          <w:rPr>
            <w:webHidden/>
          </w:rPr>
          <w:t>5</w:t>
        </w:r>
        <w:r w:rsidRPr="00B61F70">
          <w:rPr>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16" w:history="1">
        <w:r w:rsidRPr="00B61F70">
          <w:rPr>
            <w:rStyle w:val="Hyperlink"/>
            <w:rFonts w:cs="Calibri"/>
            <w:noProof/>
          </w:rPr>
          <w:t>a)</w:t>
        </w:r>
        <w:r w:rsidRPr="00B61F70">
          <w:rPr>
            <w:rFonts w:cs="Times New Roman"/>
            <w:i w:val="0"/>
            <w:noProof/>
            <w:sz w:val="22"/>
            <w:szCs w:val="22"/>
          </w:rPr>
          <w:tab/>
        </w:r>
        <w:r w:rsidRPr="00B61F70">
          <w:rPr>
            <w:rStyle w:val="Hyperlink"/>
            <w:rFonts w:cs="Calibri"/>
            <w:noProof/>
          </w:rPr>
          <w:t>Valor locativo</w:t>
        </w:r>
        <w:r w:rsidRPr="00B61F70">
          <w:rPr>
            <w:noProof/>
            <w:webHidden/>
          </w:rPr>
          <w:tab/>
        </w:r>
        <w:r w:rsidRPr="00B61F70">
          <w:rPr>
            <w:noProof/>
            <w:webHidden/>
          </w:rPr>
          <w:fldChar w:fldCharType="begin"/>
        </w:r>
        <w:r w:rsidRPr="00B61F70">
          <w:rPr>
            <w:noProof/>
            <w:webHidden/>
          </w:rPr>
          <w:instrText xml:space="preserve"> PAGEREF _Toc492313316 \h </w:instrText>
        </w:r>
        <w:r w:rsidRPr="00B61F70">
          <w:rPr>
            <w:noProof/>
            <w:webHidden/>
          </w:rPr>
        </w:r>
        <w:r w:rsidRPr="00B61F70">
          <w:rPr>
            <w:noProof/>
            <w:webHidden/>
          </w:rPr>
          <w:fldChar w:fldCharType="separate"/>
        </w:r>
        <w:r w:rsidRPr="00B61F70">
          <w:rPr>
            <w:noProof/>
            <w:webHidden/>
          </w:rPr>
          <w:t>5</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17" w:history="1">
        <w:r w:rsidRPr="00B61F70">
          <w:rPr>
            <w:rStyle w:val="Hyperlink"/>
            <w:rFonts w:cs="Calibri"/>
            <w:noProof/>
          </w:rPr>
          <w:t>b)</w:t>
        </w:r>
        <w:r w:rsidRPr="00B61F70">
          <w:rPr>
            <w:rFonts w:cs="Times New Roman"/>
            <w:i w:val="0"/>
            <w:noProof/>
            <w:sz w:val="22"/>
            <w:szCs w:val="22"/>
          </w:rPr>
          <w:tab/>
        </w:r>
        <w:r w:rsidRPr="00B61F70">
          <w:rPr>
            <w:rStyle w:val="Hyperlink"/>
            <w:rFonts w:cs="Calibri"/>
            <w:noProof/>
          </w:rPr>
          <w:t>Deducciones admitidas</w:t>
        </w:r>
        <w:r w:rsidRPr="00B61F70">
          <w:rPr>
            <w:noProof/>
            <w:webHidden/>
          </w:rPr>
          <w:tab/>
        </w:r>
        <w:r w:rsidRPr="00B61F70">
          <w:rPr>
            <w:noProof/>
            <w:webHidden/>
          </w:rPr>
          <w:fldChar w:fldCharType="begin"/>
        </w:r>
        <w:r w:rsidRPr="00B61F70">
          <w:rPr>
            <w:noProof/>
            <w:webHidden/>
          </w:rPr>
          <w:instrText xml:space="preserve"> PAGEREF _Toc492313317 \h </w:instrText>
        </w:r>
        <w:r w:rsidRPr="00B61F70">
          <w:rPr>
            <w:noProof/>
            <w:webHidden/>
          </w:rPr>
        </w:r>
        <w:r w:rsidRPr="00B61F70">
          <w:rPr>
            <w:noProof/>
            <w:webHidden/>
          </w:rPr>
          <w:fldChar w:fldCharType="separate"/>
        </w:r>
        <w:r w:rsidRPr="00B61F70">
          <w:rPr>
            <w:noProof/>
            <w:webHidden/>
          </w:rPr>
          <w:t>7</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18" w:history="1">
        <w:r w:rsidRPr="00B61F70">
          <w:rPr>
            <w:rStyle w:val="Hyperlink"/>
            <w:rFonts w:cs="Calibri"/>
            <w:noProof/>
          </w:rPr>
          <w:t>c)</w:t>
        </w:r>
        <w:r w:rsidRPr="00B61F70">
          <w:rPr>
            <w:rFonts w:cs="Times New Roman"/>
            <w:i w:val="0"/>
            <w:noProof/>
            <w:sz w:val="22"/>
            <w:szCs w:val="22"/>
          </w:rPr>
          <w:tab/>
        </w:r>
        <w:r w:rsidRPr="00B61F70">
          <w:rPr>
            <w:rStyle w:val="Hyperlink"/>
            <w:rFonts w:cs="Calibri"/>
            <w:noProof/>
          </w:rPr>
          <w:t>Venta y reemplazo</w:t>
        </w:r>
        <w:r w:rsidRPr="00B61F70">
          <w:rPr>
            <w:noProof/>
            <w:webHidden/>
          </w:rPr>
          <w:tab/>
        </w:r>
        <w:r w:rsidRPr="00B61F70">
          <w:rPr>
            <w:noProof/>
            <w:webHidden/>
          </w:rPr>
          <w:fldChar w:fldCharType="begin"/>
        </w:r>
        <w:r w:rsidRPr="00B61F70">
          <w:rPr>
            <w:noProof/>
            <w:webHidden/>
          </w:rPr>
          <w:instrText xml:space="preserve"> PAGEREF _Toc492313318 \h </w:instrText>
        </w:r>
        <w:r w:rsidRPr="00B61F70">
          <w:rPr>
            <w:noProof/>
            <w:webHidden/>
          </w:rPr>
        </w:r>
        <w:r w:rsidRPr="00B61F70">
          <w:rPr>
            <w:noProof/>
            <w:webHidden/>
          </w:rPr>
          <w:fldChar w:fldCharType="separate"/>
        </w:r>
        <w:r w:rsidRPr="00B61F70">
          <w:rPr>
            <w:noProof/>
            <w:webHidden/>
          </w:rPr>
          <w:t>8</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19" w:history="1">
        <w:r w:rsidRPr="00B61F70">
          <w:rPr>
            <w:rStyle w:val="Hyperlink"/>
            <w:rFonts w:cs="Calibri"/>
            <w:noProof/>
          </w:rPr>
          <w:t>d)</w:t>
        </w:r>
        <w:r w:rsidRPr="00B61F70">
          <w:rPr>
            <w:rFonts w:cs="Times New Roman"/>
            <w:i w:val="0"/>
            <w:noProof/>
            <w:sz w:val="22"/>
            <w:szCs w:val="22"/>
          </w:rPr>
          <w:tab/>
        </w:r>
        <w:r w:rsidRPr="00B61F70">
          <w:rPr>
            <w:rStyle w:val="Hyperlink"/>
            <w:rFonts w:cs="Calibri"/>
            <w:noProof/>
          </w:rPr>
          <w:t>Valor computable y cálculo de la amortización</w:t>
        </w:r>
        <w:r w:rsidRPr="00B61F70">
          <w:rPr>
            <w:noProof/>
            <w:webHidden/>
          </w:rPr>
          <w:tab/>
        </w:r>
        <w:r w:rsidRPr="00B61F70">
          <w:rPr>
            <w:noProof/>
            <w:webHidden/>
          </w:rPr>
          <w:fldChar w:fldCharType="begin"/>
        </w:r>
        <w:r w:rsidRPr="00B61F70">
          <w:rPr>
            <w:noProof/>
            <w:webHidden/>
          </w:rPr>
          <w:instrText xml:space="preserve"> PAGEREF _Toc492313319 \h </w:instrText>
        </w:r>
        <w:r w:rsidRPr="00B61F70">
          <w:rPr>
            <w:noProof/>
            <w:webHidden/>
          </w:rPr>
        </w:r>
        <w:r w:rsidRPr="00B61F70">
          <w:rPr>
            <w:noProof/>
            <w:webHidden/>
          </w:rPr>
          <w:fldChar w:fldCharType="separate"/>
        </w:r>
        <w:r w:rsidRPr="00B61F70">
          <w:rPr>
            <w:noProof/>
            <w:webHidden/>
          </w:rPr>
          <w:t>9</w:t>
        </w:r>
        <w:r w:rsidRPr="00B61F70">
          <w:rPr>
            <w:noProof/>
            <w:webHidden/>
          </w:rPr>
          <w:fldChar w:fldCharType="end"/>
        </w:r>
      </w:hyperlink>
    </w:p>
    <w:p w:rsidR="00D529C5" w:rsidRPr="00B61F70" w:rsidRDefault="00D529C5">
      <w:pPr>
        <w:pStyle w:val="TOC3"/>
        <w:tabs>
          <w:tab w:val="left" w:pos="1320"/>
        </w:tabs>
        <w:rPr>
          <w:rFonts w:cs="Times New Roman"/>
          <w:i w:val="0"/>
          <w:iCs w:val="0"/>
          <w:noProof/>
          <w:sz w:val="22"/>
          <w:szCs w:val="22"/>
        </w:rPr>
      </w:pPr>
      <w:hyperlink w:anchor="_Toc492313320" w:history="1">
        <w:r w:rsidRPr="00B61F70">
          <w:rPr>
            <w:rStyle w:val="Hyperlink"/>
            <w:rFonts w:cs="Calibri"/>
            <w:noProof/>
          </w:rPr>
          <w:t>2.1.2.</w:t>
        </w:r>
        <w:r w:rsidRPr="00B61F70">
          <w:rPr>
            <w:rFonts w:cs="Times New Roman"/>
            <w:i w:val="0"/>
            <w:iCs w:val="0"/>
            <w:noProof/>
            <w:sz w:val="22"/>
            <w:szCs w:val="22"/>
          </w:rPr>
          <w:tab/>
        </w:r>
        <w:r w:rsidRPr="00B61F70">
          <w:rPr>
            <w:rStyle w:val="Hyperlink"/>
            <w:rFonts w:cs="Calibri"/>
            <w:noProof/>
          </w:rPr>
          <w:t>Inversiones financieras</w:t>
        </w:r>
        <w:r w:rsidRPr="00B61F70">
          <w:rPr>
            <w:noProof/>
            <w:webHidden/>
          </w:rPr>
          <w:tab/>
        </w:r>
        <w:r w:rsidRPr="00B61F70">
          <w:rPr>
            <w:noProof/>
            <w:webHidden/>
          </w:rPr>
          <w:fldChar w:fldCharType="begin"/>
        </w:r>
        <w:r w:rsidRPr="00B61F70">
          <w:rPr>
            <w:noProof/>
            <w:webHidden/>
          </w:rPr>
          <w:instrText xml:space="preserve"> PAGEREF _Toc492313320 \h </w:instrText>
        </w:r>
        <w:r w:rsidRPr="00B61F70">
          <w:rPr>
            <w:noProof/>
            <w:webHidden/>
          </w:rPr>
        </w:r>
        <w:r w:rsidRPr="00B61F70">
          <w:rPr>
            <w:noProof/>
            <w:webHidden/>
          </w:rPr>
          <w:fldChar w:fldCharType="separate"/>
        </w:r>
        <w:r w:rsidRPr="00B61F70">
          <w:rPr>
            <w:noProof/>
            <w:webHidden/>
          </w:rPr>
          <w:t>9</w:t>
        </w:r>
        <w:r w:rsidRPr="00B61F70">
          <w:rPr>
            <w:noProof/>
            <w:webHidden/>
          </w:rPr>
          <w:fldChar w:fldCharType="end"/>
        </w:r>
      </w:hyperlink>
    </w:p>
    <w:p w:rsidR="00D529C5" w:rsidRPr="00B61F70" w:rsidRDefault="00D529C5">
      <w:pPr>
        <w:pStyle w:val="TOC4"/>
        <w:tabs>
          <w:tab w:val="left" w:pos="1100"/>
        </w:tabs>
        <w:rPr>
          <w:rFonts w:cs="Times New Roman"/>
          <w:i w:val="0"/>
          <w:sz w:val="22"/>
          <w:szCs w:val="22"/>
        </w:rPr>
      </w:pPr>
      <w:hyperlink w:anchor="_Toc492313321" w:history="1">
        <w:r w:rsidRPr="00B61F70">
          <w:rPr>
            <w:rStyle w:val="Hyperlink"/>
            <w:rFonts w:cs="Calibri"/>
          </w:rPr>
          <w:t>A.</w:t>
        </w:r>
        <w:r w:rsidRPr="00B61F70">
          <w:rPr>
            <w:rFonts w:cs="Times New Roman"/>
            <w:i w:val="0"/>
            <w:sz w:val="22"/>
            <w:szCs w:val="22"/>
          </w:rPr>
          <w:tab/>
        </w:r>
        <w:r w:rsidRPr="00B61F70">
          <w:rPr>
            <w:rStyle w:val="Hyperlink"/>
            <w:rFonts w:cs="Calibri"/>
          </w:rPr>
          <w:t>Otras cuestiones sobre el tratamiento fiscal de este tipo de inversiones financieras</w:t>
        </w:r>
        <w:r w:rsidRPr="00B61F70">
          <w:rPr>
            <w:webHidden/>
          </w:rPr>
          <w:tab/>
        </w:r>
        <w:r w:rsidRPr="00B61F70">
          <w:rPr>
            <w:webHidden/>
          </w:rPr>
          <w:fldChar w:fldCharType="begin"/>
        </w:r>
        <w:r w:rsidRPr="00B61F70">
          <w:rPr>
            <w:webHidden/>
          </w:rPr>
          <w:instrText xml:space="preserve"> PAGEREF _Toc492313321 \h </w:instrText>
        </w:r>
        <w:r w:rsidRPr="00B61F70">
          <w:rPr>
            <w:webHidden/>
          </w:rPr>
        </w:r>
        <w:r w:rsidRPr="00B61F70">
          <w:rPr>
            <w:webHidden/>
          </w:rPr>
          <w:fldChar w:fldCharType="separate"/>
        </w:r>
        <w:r w:rsidRPr="00B61F70">
          <w:rPr>
            <w:webHidden/>
          </w:rPr>
          <w:t>9</w:t>
        </w:r>
        <w:r w:rsidRPr="00B61F70">
          <w:rPr>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22" w:history="1">
        <w:r w:rsidRPr="00B61F70">
          <w:rPr>
            <w:rStyle w:val="Hyperlink"/>
            <w:rFonts w:cs="Calibri"/>
            <w:noProof/>
          </w:rPr>
          <w:t>a)</w:t>
        </w:r>
        <w:r w:rsidRPr="00B61F70">
          <w:rPr>
            <w:rFonts w:cs="Times New Roman"/>
            <w:i w:val="0"/>
            <w:noProof/>
            <w:sz w:val="22"/>
            <w:szCs w:val="22"/>
          </w:rPr>
          <w:tab/>
        </w:r>
        <w:r w:rsidRPr="00B61F70">
          <w:rPr>
            <w:rStyle w:val="Hyperlink"/>
            <w:rFonts w:cs="Calibri"/>
            <w:noProof/>
          </w:rPr>
          <w:t>Títulos públicos y Obligaciones Negociables colocadas por oferta pública en nuestro país</w:t>
        </w:r>
        <w:r w:rsidRPr="00B61F70">
          <w:rPr>
            <w:noProof/>
            <w:webHidden/>
          </w:rPr>
          <w:tab/>
        </w:r>
        <w:r w:rsidRPr="00B61F70">
          <w:rPr>
            <w:noProof/>
            <w:webHidden/>
          </w:rPr>
          <w:fldChar w:fldCharType="begin"/>
        </w:r>
        <w:r w:rsidRPr="00B61F70">
          <w:rPr>
            <w:noProof/>
            <w:webHidden/>
          </w:rPr>
          <w:instrText xml:space="preserve"> PAGEREF _Toc492313322 \h </w:instrText>
        </w:r>
        <w:r w:rsidRPr="00B61F70">
          <w:rPr>
            <w:noProof/>
            <w:webHidden/>
          </w:rPr>
        </w:r>
        <w:r w:rsidRPr="00B61F70">
          <w:rPr>
            <w:noProof/>
            <w:webHidden/>
          </w:rPr>
          <w:fldChar w:fldCharType="separate"/>
        </w:r>
        <w:r w:rsidRPr="00B61F70">
          <w:rPr>
            <w:noProof/>
            <w:webHidden/>
          </w:rPr>
          <w:t>9</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23" w:history="1">
        <w:r w:rsidRPr="00B61F70">
          <w:rPr>
            <w:rStyle w:val="Hyperlink"/>
            <w:rFonts w:cs="Calibri"/>
            <w:noProof/>
          </w:rPr>
          <w:t>b)</w:t>
        </w:r>
        <w:r w:rsidRPr="00B61F70">
          <w:rPr>
            <w:rFonts w:cs="Times New Roman"/>
            <w:i w:val="0"/>
            <w:noProof/>
            <w:sz w:val="22"/>
            <w:szCs w:val="22"/>
          </w:rPr>
          <w:tab/>
        </w:r>
        <w:r w:rsidRPr="00B61F70">
          <w:rPr>
            <w:rStyle w:val="Hyperlink"/>
            <w:rFonts w:cs="Calibri"/>
            <w:noProof/>
          </w:rPr>
          <w:t>Resultado impositivo por participación en una SRL de Brasil</w:t>
        </w:r>
        <w:r w:rsidRPr="00B61F70">
          <w:rPr>
            <w:noProof/>
            <w:webHidden/>
          </w:rPr>
          <w:tab/>
        </w:r>
        <w:r w:rsidRPr="00B61F70">
          <w:rPr>
            <w:noProof/>
            <w:webHidden/>
          </w:rPr>
          <w:fldChar w:fldCharType="begin"/>
        </w:r>
        <w:r w:rsidRPr="00B61F70">
          <w:rPr>
            <w:noProof/>
            <w:webHidden/>
          </w:rPr>
          <w:instrText xml:space="preserve"> PAGEREF _Toc492313323 \h </w:instrText>
        </w:r>
        <w:r w:rsidRPr="00B61F70">
          <w:rPr>
            <w:noProof/>
            <w:webHidden/>
          </w:rPr>
        </w:r>
        <w:r w:rsidRPr="00B61F70">
          <w:rPr>
            <w:noProof/>
            <w:webHidden/>
          </w:rPr>
          <w:fldChar w:fldCharType="separate"/>
        </w:r>
        <w:r w:rsidRPr="00B61F70">
          <w:rPr>
            <w:noProof/>
            <w:webHidden/>
          </w:rPr>
          <w:t>10</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24" w:history="1">
        <w:r w:rsidRPr="00B61F70">
          <w:rPr>
            <w:rStyle w:val="Hyperlink"/>
            <w:rFonts w:cs="Calibri"/>
            <w:noProof/>
          </w:rPr>
          <w:t>c)</w:t>
        </w:r>
        <w:r w:rsidRPr="00B61F70">
          <w:rPr>
            <w:rFonts w:cs="Times New Roman"/>
            <w:i w:val="0"/>
            <w:noProof/>
            <w:sz w:val="22"/>
            <w:szCs w:val="22"/>
          </w:rPr>
          <w:tab/>
        </w:r>
        <w:r w:rsidRPr="00B61F70">
          <w:rPr>
            <w:rStyle w:val="Hyperlink"/>
            <w:rFonts w:cs="Calibri"/>
            <w:noProof/>
          </w:rPr>
          <w:t>Portfolio de inversiones</w:t>
        </w:r>
        <w:r w:rsidRPr="00B61F70">
          <w:rPr>
            <w:noProof/>
            <w:webHidden/>
          </w:rPr>
          <w:tab/>
        </w:r>
        <w:r w:rsidRPr="00B61F70">
          <w:rPr>
            <w:noProof/>
            <w:webHidden/>
          </w:rPr>
          <w:fldChar w:fldCharType="begin"/>
        </w:r>
        <w:r w:rsidRPr="00B61F70">
          <w:rPr>
            <w:noProof/>
            <w:webHidden/>
          </w:rPr>
          <w:instrText xml:space="preserve"> PAGEREF _Toc492313324 \h </w:instrText>
        </w:r>
        <w:r w:rsidRPr="00B61F70">
          <w:rPr>
            <w:noProof/>
            <w:webHidden/>
          </w:rPr>
        </w:r>
        <w:r w:rsidRPr="00B61F70">
          <w:rPr>
            <w:noProof/>
            <w:webHidden/>
          </w:rPr>
          <w:fldChar w:fldCharType="separate"/>
        </w:r>
        <w:r w:rsidRPr="00B61F70">
          <w:rPr>
            <w:noProof/>
            <w:webHidden/>
          </w:rPr>
          <w:t>11</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25" w:history="1">
        <w:r w:rsidRPr="00B61F70">
          <w:rPr>
            <w:rStyle w:val="Hyperlink"/>
            <w:rFonts w:cs="Calibri"/>
            <w:noProof/>
          </w:rPr>
          <w:t>d)</w:t>
        </w:r>
        <w:r w:rsidRPr="00B61F70">
          <w:rPr>
            <w:rFonts w:cs="Times New Roman"/>
            <w:i w:val="0"/>
            <w:noProof/>
            <w:sz w:val="22"/>
            <w:szCs w:val="22"/>
          </w:rPr>
          <w:tab/>
        </w:r>
        <w:r w:rsidRPr="00B61F70">
          <w:rPr>
            <w:rStyle w:val="Hyperlink"/>
            <w:rFonts w:cs="Calibri"/>
            <w:noProof/>
          </w:rPr>
          <w:t>Fondo común de inversión</w:t>
        </w:r>
        <w:r w:rsidRPr="00B61F70">
          <w:rPr>
            <w:noProof/>
            <w:webHidden/>
          </w:rPr>
          <w:tab/>
        </w:r>
        <w:r w:rsidRPr="00B61F70">
          <w:rPr>
            <w:noProof/>
            <w:webHidden/>
          </w:rPr>
          <w:fldChar w:fldCharType="begin"/>
        </w:r>
        <w:r w:rsidRPr="00B61F70">
          <w:rPr>
            <w:noProof/>
            <w:webHidden/>
          </w:rPr>
          <w:instrText xml:space="preserve"> PAGEREF _Toc492313325 \h </w:instrText>
        </w:r>
        <w:r w:rsidRPr="00B61F70">
          <w:rPr>
            <w:noProof/>
            <w:webHidden/>
          </w:rPr>
        </w:r>
        <w:r w:rsidRPr="00B61F70">
          <w:rPr>
            <w:noProof/>
            <w:webHidden/>
          </w:rPr>
          <w:fldChar w:fldCharType="separate"/>
        </w:r>
        <w:r w:rsidRPr="00B61F70">
          <w:rPr>
            <w:noProof/>
            <w:webHidden/>
          </w:rPr>
          <w:t>11</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26" w:history="1">
        <w:r w:rsidRPr="00B61F70">
          <w:rPr>
            <w:rStyle w:val="Hyperlink"/>
            <w:rFonts w:cs="Calibri"/>
            <w:noProof/>
          </w:rPr>
          <w:t>e)</w:t>
        </w:r>
        <w:r w:rsidRPr="00B61F70">
          <w:rPr>
            <w:rFonts w:cs="Times New Roman"/>
            <w:i w:val="0"/>
            <w:noProof/>
            <w:sz w:val="22"/>
            <w:szCs w:val="22"/>
          </w:rPr>
          <w:tab/>
        </w:r>
        <w:r w:rsidRPr="00B61F70">
          <w:rPr>
            <w:rStyle w:val="Hyperlink"/>
            <w:rFonts w:cs="Calibri"/>
            <w:noProof/>
          </w:rPr>
          <w:t>¿Contrato financiero derivado o venta de acciones a futuro?</w:t>
        </w:r>
        <w:r w:rsidRPr="00B61F70">
          <w:rPr>
            <w:noProof/>
            <w:webHidden/>
          </w:rPr>
          <w:tab/>
        </w:r>
        <w:r w:rsidRPr="00B61F70">
          <w:rPr>
            <w:noProof/>
            <w:webHidden/>
          </w:rPr>
          <w:fldChar w:fldCharType="begin"/>
        </w:r>
        <w:r w:rsidRPr="00B61F70">
          <w:rPr>
            <w:noProof/>
            <w:webHidden/>
          </w:rPr>
          <w:instrText xml:space="preserve"> PAGEREF _Toc492313326 \h </w:instrText>
        </w:r>
        <w:r w:rsidRPr="00B61F70">
          <w:rPr>
            <w:noProof/>
            <w:webHidden/>
          </w:rPr>
        </w:r>
        <w:r w:rsidRPr="00B61F70">
          <w:rPr>
            <w:noProof/>
            <w:webHidden/>
          </w:rPr>
          <w:fldChar w:fldCharType="separate"/>
        </w:r>
        <w:r w:rsidRPr="00B61F70">
          <w:rPr>
            <w:noProof/>
            <w:webHidden/>
          </w:rPr>
          <w:t>11</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27" w:history="1">
        <w:r w:rsidRPr="00B61F70">
          <w:rPr>
            <w:rStyle w:val="Hyperlink"/>
            <w:rFonts w:cs="Calibri"/>
            <w:noProof/>
          </w:rPr>
          <w:t>f)</w:t>
        </w:r>
        <w:r w:rsidRPr="00B61F70">
          <w:rPr>
            <w:rFonts w:cs="Times New Roman"/>
            <w:i w:val="0"/>
            <w:noProof/>
            <w:sz w:val="22"/>
            <w:szCs w:val="22"/>
          </w:rPr>
          <w:tab/>
        </w:r>
        <w:r w:rsidRPr="00B61F70">
          <w:rPr>
            <w:rStyle w:val="Hyperlink"/>
            <w:rFonts w:cs="Calibri"/>
            <w:noProof/>
          </w:rPr>
          <w:t>Deducción del impuesto sobre los bienes personales</w:t>
        </w:r>
        <w:r w:rsidRPr="00B61F70">
          <w:rPr>
            <w:noProof/>
            <w:webHidden/>
          </w:rPr>
          <w:tab/>
        </w:r>
        <w:r w:rsidRPr="00B61F70">
          <w:rPr>
            <w:noProof/>
            <w:webHidden/>
          </w:rPr>
          <w:fldChar w:fldCharType="begin"/>
        </w:r>
        <w:r w:rsidRPr="00B61F70">
          <w:rPr>
            <w:noProof/>
            <w:webHidden/>
          </w:rPr>
          <w:instrText xml:space="preserve"> PAGEREF _Toc492313327 \h </w:instrText>
        </w:r>
        <w:r w:rsidRPr="00B61F70">
          <w:rPr>
            <w:noProof/>
            <w:webHidden/>
          </w:rPr>
        </w:r>
        <w:r w:rsidRPr="00B61F70">
          <w:rPr>
            <w:noProof/>
            <w:webHidden/>
          </w:rPr>
          <w:fldChar w:fldCharType="separate"/>
        </w:r>
        <w:r w:rsidRPr="00B61F70">
          <w:rPr>
            <w:noProof/>
            <w:webHidden/>
          </w:rPr>
          <w:t>12</w:t>
        </w:r>
        <w:r w:rsidRPr="00B61F70">
          <w:rPr>
            <w:noProof/>
            <w:webHidden/>
          </w:rPr>
          <w:fldChar w:fldCharType="end"/>
        </w:r>
      </w:hyperlink>
    </w:p>
    <w:p w:rsidR="00D529C5" w:rsidRPr="00B61F70" w:rsidRDefault="00D529C5">
      <w:pPr>
        <w:pStyle w:val="TOC5"/>
        <w:tabs>
          <w:tab w:val="left" w:pos="1320"/>
        </w:tabs>
        <w:rPr>
          <w:rFonts w:cs="Times New Roman"/>
          <w:i w:val="0"/>
          <w:noProof/>
          <w:sz w:val="22"/>
          <w:szCs w:val="22"/>
        </w:rPr>
      </w:pPr>
      <w:hyperlink w:anchor="_Toc492313328" w:history="1">
        <w:r w:rsidRPr="00B61F70">
          <w:rPr>
            <w:rStyle w:val="Hyperlink"/>
            <w:rFonts w:cs="Calibri"/>
            <w:noProof/>
          </w:rPr>
          <w:t>g)</w:t>
        </w:r>
        <w:r w:rsidRPr="00B61F70">
          <w:rPr>
            <w:rFonts w:cs="Times New Roman"/>
            <w:i w:val="0"/>
            <w:noProof/>
            <w:sz w:val="22"/>
            <w:szCs w:val="22"/>
          </w:rPr>
          <w:tab/>
        </w:r>
        <w:r w:rsidRPr="00B61F70">
          <w:rPr>
            <w:rStyle w:val="Hyperlink"/>
            <w:rFonts w:cs="Calibri"/>
            <w:noProof/>
          </w:rPr>
          <w:t>Resultados provenientes de compraventa de acciones y otros valores</w:t>
        </w:r>
        <w:r w:rsidRPr="00B61F70">
          <w:rPr>
            <w:noProof/>
            <w:webHidden/>
          </w:rPr>
          <w:tab/>
        </w:r>
        <w:r w:rsidRPr="00B61F70">
          <w:rPr>
            <w:noProof/>
            <w:webHidden/>
          </w:rPr>
          <w:fldChar w:fldCharType="begin"/>
        </w:r>
        <w:r w:rsidRPr="00B61F70">
          <w:rPr>
            <w:noProof/>
            <w:webHidden/>
          </w:rPr>
          <w:instrText xml:space="preserve"> PAGEREF _Toc492313328 \h </w:instrText>
        </w:r>
        <w:r w:rsidRPr="00B61F70">
          <w:rPr>
            <w:noProof/>
            <w:webHidden/>
          </w:rPr>
        </w:r>
        <w:r w:rsidRPr="00B61F70">
          <w:rPr>
            <w:noProof/>
            <w:webHidden/>
          </w:rPr>
          <w:fldChar w:fldCharType="separate"/>
        </w:r>
        <w:r w:rsidRPr="00B61F70">
          <w:rPr>
            <w:noProof/>
            <w:webHidden/>
          </w:rPr>
          <w:t>13</w:t>
        </w:r>
        <w:r w:rsidRPr="00B61F70">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29" w:history="1">
        <w:r w:rsidRPr="00D9390B">
          <w:rPr>
            <w:rStyle w:val="Hyperlink"/>
            <w:rFonts w:cs="Calibri"/>
            <w:noProof/>
          </w:rPr>
          <w:t>2.2.</w:t>
        </w:r>
        <w:r>
          <w:rPr>
            <w:rFonts w:cs="Times New Roman"/>
            <w:i w:val="0"/>
            <w:noProof/>
            <w:sz w:val="22"/>
            <w:szCs w:val="22"/>
          </w:rPr>
          <w:tab/>
        </w:r>
        <w:r w:rsidRPr="00D9390B">
          <w:rPr>
            <w:rStyle w:val="Hyperlink"/>
            <w:rFonts w:cs="Calibri"/>
            <w:noProof/>
          </w:rPr>
          <w:t>A través de una sociedad anónima extranjera que no se encuentra radicada en una jurisdicción no cooperante</w:t>
        </w:r>
        <w:r>
          <w:rPr>
            <w:noProof/>
            <w:webHidden/>
          </w:rPr>
          <w:tab/>
        </w:r>
        <w:r>
          <w:rPr>
            <w:noProof/>
            <w:webHidden/>
          </w:rPr>
          <w:fldChar w:fldCharType="begin"/>
        </w:r>
        <w:r>
          <w:rPr>
            <w:noProof/>
            <w:webHidden/>
          </w:rPr>
          <w:instrText xml:space="preserve"> PAGEREF _Toc492313329 \h </w:instrText>
        </w:r>
        <w:r>
          <w:rPr>
            <w:noProof/>
            <w:webHidden/>
          </w:rPr>
        </w:r>
        <w:r>
          <w:rPr>
            <w:noProof/>
            <w:webHidden/>
          </w:rPr>
          <w:fldChar w:fldCharType="separate"/>
        </w:r>
        <w:r>
          <w:rPr>
            <w:noProof/>
            <w:webHidden/>
          </w:rPr>
          <w:t>15</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30" w:history="1">
        <w:r w:rsidRPr="00D9390B">
          <w:rPr>
            <w:rStyle w:val="Hyperlink"/>
            <w:rFonts w:cs="Calibri"/>
            <w:noProof/>
          </w:rPr>
          <w:t>2.2.1.</w:t>
        </w:r>
        <w:r>
          <w:rPr>
            <w:rFonts w:cs="Times New Roman"/>
            <w:i w:val="0"/>
            <w:iCs w:val="0"/>
            <w:noProof/>
            <w:sz w:val="22"/>
            <w:szCs w:val="22"/>
          </w:rPr>
          <w:tab/>
        </w:r>
        <w:r w:rsidRPr="00D9390B">
          <w:rPr>
            <w:rStyle w:val="Hyperlink"/>
            <w:rFonts w:cs="Calibri"/>
            <w:noProof/>
          </w:rPr>
          <w:t>Dividendos en efectivo</w:t>
        </w:r>
        <w:r>
          <w:rPr>
            <w:noProof/>
            <w:webHidden/>
          </w:rPr>
          <w:tab/>
        </w:r>
        <w:r>
          <w:rPr>
            <w:noProof/>
            <w:webHidden/>
          </w:rPr>
          <w:fldChar w:fldCharType="begin"/>
        </w:r>
        <w:r>
          <w:rPr>
            <w:noProof/>
            <w:webHidden/>
          </w:rPr>
          <w:instrText xml:space="preserve"> PAGEREF _Toc492313330 \h </w:instrText>
        </w:r>
        <w:r>
          <w:rPr>
            <w:noProof/>
            <w:webHidden/>
          </w:rPr>
        </w:r>
        <w:r>
          <w:rPr>
            <w:noProof/>
            <w:webHidden/>
          </w:rPr>
          <w:fldChar w:fldCharType="separate"/>
        </w:r>
        <w:r>
          <w:rPr>
            <w:noProof/>
            <w:webHidden/>
          </w:rPr>
          <w:t>15</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31" w:history="1">
        <w:r w:rsidRPr="00D9390B">
          <w:rPr>
            <w:rStyle w:val="Hyperlink"/>
            <w:rFonts w:cs="Calibri"/>
            <w:noProof/>
          </w:rPr>
          <w:t>2.2.2.</w:t>
        </w:r>
        <w:r>
          <w:rPr>
            <w:rFonts w:cs="Times New Roman"/>
            <w:i w:val="0"/>
            <w:iCs w:val="0"/>
            <w:noProof/>
            <w:sz w:val="22"/>
            <w:szCs w:val="22"/>
          </w:rPr>
          <w:tab/>
        </w:r>
        <w:r w:rsidRPr="00D9390B">
          <w:rPr>
            <w:rStyle w:val="Hyperlink"/>
            <w:rFonts w:cs="Calibri"/>
            <w:noProof/>
          </w:rPr>
          <w:t>Dividendos en acciones</w:t>
        </w:r>
        <w:r>
          <w:rPr>
            <w:noProof/>
            <w:webHidden/>
          </w:rPr>
          <w:tab/>
        </w:r>
        <w:r>
          <w:rPr>
            <w:noProof/>
            <w:webHidden/>
          </w:rPr>
          <w:fldChar w:fldCharType="begin"/>
        </w:r>
        <w:r>
          <w:rPr>
            <w:noProof/>
            <w:webHidden/>
          </w:rPr>
          <w:instrText xml:space="preserve"> PAGEREF _Toc492313331 \h </w:instrText>
        </w:r>
        <w:r>
          <w:rPr>
            <w:noProof/>
            <w:webHidden/>
          </w:rPr>
        </w:r>
        <w:r>
          <w:rPr>
            <w:noProof/>
            <w:webHidden/>
          </w:rPr>
          <w:fldChar w:fldCharType="separate"/>
        </w:r>
        <w:r>
          <w:rPr>
            <w:noProof/>
            <w:webHidden/>
          </w:rPr>
          <w:t>15</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32" w:history="1">
        <w:r w:rsidRPr="00D9390B">
          <w:rPr>
            <w:rStyle w:val="Hyperlink"/>
            <w:rFonts w:cs="Calibri"/>
            <w:noProof/>
          </w:rPr>
          <w:t>2.3.</w:t>
        </w:r>
        <w:r>
          <w:rPr>
            <w:rFonts w:cs="Times New Roman"/>
            <w:i w:val="0"/>
            <w:noProof/>
            <w:sz w:val="22"/>
            <w:szCs w:val="22"/>
          </w:rPr>
          <w:tab/>
        </w:r>
        <w:r w:rsidRPr="00D9390B">
          <w:rPr>
            <w:rStyle w:val="Hyperlink"/>
            <w:rFonts w:cs="Calibri"/>
            <w:noProof/>
          </w:rPr>
          <w:t>A través de una sociedad extranjera que no sea por acciones</w:t>
        </w:r>
        <w:r>
          <w:rPr>
            <w:noProof/>
            <w:webHidden/>
          </w:rPr>
          <w:tab/>
        </w:r>
        <w:r>
          <w:rPr>
            <w:noProof/>
            <w:webHidden/>
          </w:rPr>
          <w:fldChar w:fldCharType="begin"/>
        </w:r>
        <w:r>
          <w:rPr>
            <w:noProof/>
            <w:webHidden/>
          </w:rPr>
          <w:instrText xml:space="preserve"> PAGEREF _Toc492313332 \h </w:instrText>
        </w:r>
        <w:r>
          <w:rPr>
            <w:noProof/>
            <w:webHidden/>
          </w:rPr>
        </w:r>
        <w:r>
          <w:rPr>
            <w:noProof/>
            <w:webHidden/>
          </w:rPr>
          <w:fldChar w:fldCharType="separate"/>
        </w:r>
        <w:r>
          <w:rPr>
            <w:noProof/>
            <w:webHidden/>
          </w:rPr>
          <w:t>16</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33" w:history="1">
        <w:r w:rsidRPr="00D9390B">
          <w:rPr>
            <w:rStyle w:val="Hyperlink"/>
            <w:rFonts w:cs="Calibri"/>
            <w:noProof/>
          </w:rPr>
          <w:t>2.4.</w:t>
        </w:r>
        <w:r>
          <w:rPr>
            <w:rFonts w:cs="Times New Roman"/>
            <w:i w:val="0"/>
            <w:noProof/>
            <w:sz w:val="22"/>
            <w:szCs w:val="22"/>
          </w:rPr>
          <w:tab/>
        </w:r>
        <w:r w:rsidRPr="00D9390B">
          <w:rPr>
            <w:rStyle w:val="Hyperlink"/>
            <w:rFonts w:cs="Calibri"/>
            <w:noProof/>
          </w:rPr>
          <w:t>A través de un establecimiento permanente</w:t>
        </w:r>
        <w:r>
          <w:rPr>
            <w:noProof/>
            <w:webHidden/>
          </w:rPr>
          <w:tab/>
        </w:r>
        <w:r>
          <w:rPr>
            <w:noProof/>
            <w:webHidden/>
          </w:rPr>
          <w:fldChar w:fldCharType="begin"/>
        </w:r>
        <w:r>
          <w:rPr>
            <w:noProof/>
            <w:webHidden/>
          </w:rPr>
          <w:instrText xml:space="preserve"> PAGEREF _Toc492313333 \h </w:instrText>
        </w:r>
        <w:r>
          <w:rPr>
            <w:noProof/>
            <w:webHidden/>
          </w:rPr>
        </w:r>
        <w:r>
          <w:rPr>
            <w:noProof/>
            <w:webHidden/>
          </w:rPr>
          <w:fldChar w:fldCharType="separate"/>
        </w:r>
        <w:r>
          <w:rPr>
            <w:noProof/>
            <w:webHidden/>
          </w:rPr>
          <w:t>17</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34" w:history="1">
        <w:r w:rsidRPr="00D9390B">
          <w:rPr>
            <w:rStyle w:val="Hyperlink"/>
            <w:rFonts w:cs="Calibri"/>
            <w:noProof/>
          </w:rPr>
          <w:t>2.4.1.</w:t>
        </w:r>
        <w:r>
          <w:rPr>
            <w:rFonts w:cs="Times New Roman"/>
            <w:i w:val="0"/>
            <w:iCs w:val="0"/>
            <w:noProof/>
            <w:sz w:val="22"/>
            <w:szCs w:val="22"/>
          </w:rPr>
          <w:tab/>
        </w:r>
        <w:r w:rsidRPr="00D9390B">
          <w:rPr>
            <w:rStyle w:val="Hyperlink"/>
            <w:rFonts w:cs="Calibri"/>
            <w:noProof/>
          </w:rPr>
          <w:t>Establecimiento permanente o sociedad por acciones</w:t>
        </w:r>
        <w:r>
          <w:rPr>
            <w:noProof/>
            <w:webHidden/>
          </w:rPr>
          <w:tab/>
        </w:r>
        <w:r>
          <w:rPr>
            <w:noProof/>
            <w:webHidden/>
          </w:rPr>
          <w:fldChar w:fldCharType="begin"/>
        </w:r>
        <w:r>
          <w:rPr>
            <w:noProof/>
            <w:webHidden/>
          </w:rPr>
          <w:instrText xml:space="preserve"> PAGEREF _Toc492313334 \h </w:instrText>
        </w:r>
        <w:r>
          <w:rPr>
            <w:noProof/>
            <w:webHidden/>
          </w:rPr>
        </w:r>
        <w:r>
          <w:rPr>
            <w:noProof/>
            <w:webHidden/>
          </w:rPr>
          <w:fldChar w:fldCharType="separate"/>
        </w:r>
        <w:r>
          <w:rPr>
            <w:noProof/>
            <w:webHidden/>
          </w:rPr>
          <w:t>18</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35" w:history="1">
        <w:r w:rsidRPr="00D9390B">
          <w:rPr>
            <w:rStyle w:val="Hyperlink"/>
            <w:rFonts w:cs="Calibri"/>
            <w:noProof/>
          </w:rPr>
          <w:t>2.5.</w:t>
        </w:r>
        <w:r>
          <w:rPr>
            <w:rFonts w:cs="Times New Roman"/>
            <w:i w:val="0"/>
            <w:noProof/>
            <w:sz w:val="22"/>
            <w:szCs w:val="22"/>
          </w:rPr>
          <w:tab/>
        </w:r>
        <w:r w:rsidRPr="00D9390B">
          <w:rPr>
            <w:rStyle w:val="Hyperlink"/>
            <w:rFonts w:cs="Calibri"/>
            <w:noProof/>
          </w:rPr>
          <w:t>A través de sociedades anónimas del exterior constituidas en una jurisdicción no cooperante</w:t>
        </w:r>
        <w:r>
          <w:rPr>
            <w:noProof/>
            <w:webHidden/>
          </w:rPr>
          <w:tab/>
        </w:r>
        <w:r>
          <w:rPr>
            <w:noProof/>
            <w:webHidden/>
          </w:rPr>
          <w:fldChar w:fldCharType="begin"/>
        </w:r>
        <w:r>
          <w:rPr>
            <w:noProof/>
            <w:webHidden/>
          </w:rPr>
          <w:instrText xml:space="preserve"> PAGEREF _Toc492313335 \h </w:instrText>
        </w:r>
        <w:r>
          <w:rPr>
            <w:noProof/>
            <w:webHidden/>
          </w:rPr>
        </w:r>
        <w:r>
          <w:rPr>
            <w:noProof/>
            <w:webHidden/>
          </w:rPr>
          <w:fldChar w:fldCharType="separate"/>
        </w:r>
        <w:r>
          <w:rPr>
            <w:noProof/>
            <w:webHidden/>
          </w:rPr>
          <w:t>19</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36" w:history="1">
        <w:r w:rsidRPr="00D9390B">
          <w:rPr>
            <w:rStyle w:val="Hyperlink"/>
            <w:rFonts w:cs="Calibri"/>
            <w:noProof/>
          </w:rPr>
          <w:t>2.5.1.</w:t>
        </w:r>
        <w:r>
          <w:rPr>
            <w:rFonts w:cs="Times New Roman"/>
            <w:i w:val="0"/>
            <w:iCs w:val="0"/>
            <w:noProof/>
            <w:sz w:val="22"/>
            <w:szCs w:val="22"/>
          </w:rPr>
          <w:tab/>
        </w:r>
        <w:r w:rsidRPr="00D9390B">
          <w:rPr>
            <w:rStyle w:val="Hyperlink"/>
            <w:rFonts w:cs="Calibri"/>
            <w:noProof/>
          </w:rPr>
          <w:t>Jurisdicción no cooperante a los fines de la transparencia fiscal</w:t>
        </w:r>
        <w:r>
          <w:rPr>
            <w:noProof/>
            <w:webHidden/>
          </w:rPr>
          <w:tab/>
        </w:r>
        <w:r>
          <w:rPr>
            <w:noProof/>
            <w:webHidden/>
          </w:rPr>
          <w:fldChar w:fldCharType="begin"/>
        </w:r>
        <w:r>
          <w:rPr>
            <w:noProof/>
            <w:webHidden/>
          </w:rPr>
          <w:instrText xml:space="preserve"> PAGEREF _Toc492313336 \h </w:instrText>
        </w:r>
        <w:r>
          <w:rPr>
            <w:noProof/>
            <w:webHidden/>
          </w:rPr>
        </w:r>
        <w:r>
          <w:rPr>
            <w:noProof/>
            <w:webHidden/>
          </w:rPr>
          <w:fldChar w:fldCharType="separate"/>
        </w:r>
        <w:r>
          <w:rPr>
            <w:noProof/>
            <w:webHidden/>
          </w:rPr>
          <w:t>21</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37" w:history="1">
        <w:r w:rsidRPr="00D9390B">
          <w:rPr>
            <w:rStyle w:val="Hyperlink"/>
            <w:rFonts w:cs="Calibri"/>
            <w:noProof/>
          </w:rPr>
          <w:t>2.5.2.</w:t>
        </w:r>
        <w:r>
          <w:rPr>
            <w:rFonts w:cs="Times New Roman"/>
            <w:i w:val="0"/>
            <w:iCs w:val="0"/>
            <w:noProof/>
            <w:sz w:val="22"/>
            <w:szCs w:val="22"/>
          </w:rPr>
          <w:tab/>
        </w:r>
        <w:r w:rsidRPr="00D9390B">
          <w:rPr>
            <w:rStyle w:val="Hyperlink"/>
            <w:rFonts w:cs="Calibri"/>
            <w:noProof/>
          </w:rPr>
          <w:t>Rentas pasivas</w:t>
        </w:r>
        <w:r>
          <w:rPr>
            <w:noProof/>
            <w:webHidden/>
          </w:rPr>
          <w:tab/>
        </w:r>
        <w:r>
          <w:rPr>
            <w:noProof/>
            <w:webHidden/>
          </w:rPr>
          <w:fldChar w:fldCharType="begin"/>
        </w:r>
        <w:r>
          <w:rPr>
            <w:noProof/>
            <w:webHidden/>
          </w:rPr>
          <w:instrText xml:space="preserve"> PAGEREF _Toc492313337 \h </w:instrText>
        </w:r>
        <w:r>
          <w:rPr>
            <w:noProof/>
            <w:webHidden/>
          </w:rPr>
        </w:r>
        <w:r>
          <w:rPr>
            <w:noProof/>
            <w:webHidden/>
          </w:rPr>
          <w:fldChar w:fldCharType="separate"/>
        </w:r>
        <w:r>
          <w:rPr>
            <w:noProof/>
            <w:webHidden/>
          </w:rPr>
          <w:t>21</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38" w:history="1">
        <w:r w:rsidRPr="00D9390B">
          <w:rPr>
            <w:rStyle w:val="Hyperlink"/>
            <w:rFonts w:cs="Calibri"/>
            <w:noProof/>
          </w:rPr>
          <w:t>2.5.3.</w:t>
        </w:r>
        <w:r>
          <w:rPr>
            <w:rFonts w:cs="Times New Roman"/>
            <w:i w:val="0"/>
            <w:iCs w:val="0"/>
            <w:noProof/>
            <w:sz w:val="22"/>
            <w:szCs w:val="22"/>
          </w:rPr>
          <w:tab/>
        </w:r>
        <w:r w:rsidRPr="00D9390B">
          <w:rPr>
            <w:rStyle w:val="Hyperlink"/>
            <w:rFonts w:cs="Calibri"/>
            <w:noProof/>
          </w:rPr>
          <w:t>Imputación</w:t>
        </w:r>
        <w:r>
          <w:rPr>
            <w:noProof/>
            <w:webHidden/>
          </w:rPr>
          <w:tab/>
        </w:r>
        <w:r>
          <w:rPr>
            <w:noProof/>
            <w:webHidden/>
          </w:rPr>
          <w:fldChar w:fldCharType="begin"/>
        </w:r>
        <w:r>
          <w:rPr>
            <w:noProof/>
            <w:webHidden/>
          </w:rPr>
          <w:instrText xml:space="preserve"> PAGEREF _Toc492313338 \h </w:instrText>
        </w:r>
        <w:r>
          <w:rPr>
            <w:noProof/>
            <w:webHidden/>
          </w:rPr>
        </w:r>
        <w:r>
          <w:rPr>
            <w:noProof/>
            <w:webHidden/>
          </w:rPr>
          <w:fldChar w:fldCharType="separate"/>
        </w:r>
        <w:r>
          <w:rPr>
            <w:noProof/>
            <w:webHidden/>
          </w:rPr>
          <w:t>24</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39" w:history="1">
        <w:r w:rsidRPr="00D9390B">
          <w:rPr>
            <w:rStyle w:val="Hyperlink"/>
            <w:rFonts w:cs="Calibri"/>
            <w:noProof/>
          </w:rPr>
          <w:t>2.6.</w:t>
        </w:r>
        <w:r>
          <w:rPr>
            <w:rFonts w:cs="Times New Roman"/>
            <w:i w:val="0"/>
            <w:noProof/>
            <w:sz w:val="22"/>
            <w:szCs w:val="22"/>
          </w:rPr>
          <w:tab/>
        </w:r>
        <w:r w:rsidRPr="00D9390B">
          <w:rPr>
            <w:rStyle w:val="Hyperlink"/>
            <w:rFonts w:cs="Calibri"/>
            <w:noProof/>
          </w:rPr>
          <w:t>A través de un fondo común de inversión</w:t>
        </w:r>
        <w:r>
          <w:rPr>
            <w:noProof/>
            <w:webHidden/>
          </w:rPr>
          <w:tab/>
        </w:r>
        <w:r>
          <w:rPr>
            <w:noProof/>
            <w:webHidden/>
          </w:rPr>
          <w:fldChar w:fldCharType="begin"/>
        </w:r>
        <w:r>
          <w:rPr>
            <w:noProof/>
            <w:webHidden/>
          </w:rPr>
          <w:instrText xml:space="preserve"> PAGEREF _Toc492313339 \h </w:instrText>
        </w:r>
        <w:r>
          <w:rPr>
            <w:noProof/>
            <w:webHidden/>
          </w:rPr>
        </w:r>
        <w:r>
          <w:rPr>
            <w:noProof/>
            <w:webHidden/>
          </w:rPr>
          <w:fldChar w:fldCharType="separate"/>
        </w:r>
        <w:r>
          <w:rPr>
            <w:noProof/>
            <w:webHidden/>
          </w:rPr>
          <w:t>25</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40" w:history="1">
        <w:r w:rsidRPr="00D9390B">
          <w:rPr>
            <w:rStyle w:val="Hyperlink"/>
            <w:rFonts w:cs="Calibri"/>
            <w:noProof/>
          </w:rPr>
          <w:t>2.7.</w:t>
        </w:r>
        <w:r>
          <w:rPr>
            <w:rFonts w:cs="Times New Roman"/>
            <w:i w:val="0"/>
            <w:noProof/>
            <w:sz w:val="22"/>
            <w:szCs w:val="22"/>
          </w:rPr>
          <w:tab/>
        </w:r>
        <w:r w:rsidRPr="00D9390B">
          <w:rPr>
            <w:rStyle w:val="Hyperlink"/>
            <w:rFonts w:cs="Calibri"/>
            <w:noProof/>
          </w:rPr>
          <w:t>A través de un fideicomiso ordinario</w:t>
        </w:r>
        <w:r>
          <w:rPr>
            <w:noProof/>
            <w:webHidden/>
          </w:rPr>
          <w:tab/>
        </w:r>
        <w:r>
          <w:rPr>
            <w:noProof/>
            <w:webHidden/>
          </w:rPr>
          <w:fldChar w:fldCharType="begin"/>
        </w:r>
        <w:r>
          <w:rPr>
            <w:noProof/>
            <w:webHidden/>
          </w:rPr>
          <w:instrText xml:space="preserve"> PAGEREF _Toc492313340 \h </w:instrText>
        </w:r>
        <w:r>
          <w:rPr>
            <w:noProof/>
            <w:webHidden/>
          </w:rPr>
        </w:r>
        <w:r>
          <w:rPr>
            <w:noProof/>
            <w:webHidden/>
          </w:rPr>
          <w:fldChar w:fldCharType="separate"/>
        </w:r>
        <w:r>
          <w:rPr>
            <w:noProof/>
            <w:webHidden/>
          </w:rPr>
          <w:t>27</w:t>
        </w:r>
        <w:r>
          <w:rPr>
            <w:noProof/>
            <w:webHidden/>
          </w:rPr>
          <w:fldChar w:fldCharType="end"/>
        </w:r>
      </w:hyperlink>
    </w:p>
    <w:p w:rsidR="00D529C5" w:rsidRDefault="00D529C5">
      <w:pPr>
        <w:pStyle w:val="TOC1"/>
        <w:tabs>
          <w:tab w:val="left" w:pos="442"/>
          <w:tab w:val="right" w:leader="dot" w:pos="8778"/>
        </w:tabs>
        <w:rPr>
          <w:rFonts w:cs="Times New Roman"/>
          <w:bCs w:val="0"/>
          <w:i w:val="0"/>
          <w:noProof/>
          <w:sz w:val="22"/>
          <w:szCs w:val="22"/>
        </w:rPr>
      </w:pPr>
      <w:hyperlink w:anchor="_Toc492313341" w:history="1">
        <w:r w:rsidRPr="00D9390B">
          <w:rPr>
            <w:rStyle w:val="Hyperlink"/>
            <w:rFonts w:cs="Calibri"/>
            <w:noProof/>
          </w:rPr>
          <w:t>3.</w:t>
        </w:r>
        <w:r>
          <w:rPr>
            <w:rFonts w:cs="Times New Roman"/>
            <w:bCs w:val="0"/>
            <w:i w:val="0"/>
            <w:noProof/>
            <w:sz w:val="22"/>
            <w:szCs w:val="22"/>
          </w:rPr>
          <w:tab/>
        </w:r>
        <w:r w:rsidRPr="00D9390B">
          <w:rPr>
            <w:rStyle w:val="Hyperlink"/>
            <w:rFonts w:cs="Calibri"/>
            <w:noProof/>
          </w:rPr>
          <w:t>Herramientas de control</w:t>
        </w:r>
        <w:r>
          <w:rPr>
            <w:noProof/>
            <w:webHidden/>
          </w:rPr>
          <w:tab/>
        </w:r>
        <w:r>
          <w:rPr>
            <w:noProof/>
            <w:webHidden/>
          </w:rPr>
          <w:fldChar w:fldCharType="begin"/>
        </w:r>
        <w:r>
          <w:rPr>
            <w:noProof/>
            <w:webHidden/>
          </w:rPr>
          <w:instrText xml:space="preserve"> PAGEREF _Toc492313341 \h </w:instrText>
        </w:r>
        <w:r>
          <w:rPr>
            <w:noProof/>
            <w:webHidden/>
          </w:rPr>
        </w:r>
        <w:r>
          <w:rPr>
            <w:noProof/>
            <w:webHidden/>
          </w:rPr>
          <w:fldChar w:fldCharType="separate"/>
        </w:r>
        <w:r>
          <w:rPr>
            <w:noProof/>
            <w:webHidden/>
          </w:rPr>
          <w:t>30</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42" w:history="1">
        <w:r w:rsidRPr="00D9390B">
          <w:rPr>
            <w:rStyle w:val="Hyperlink"/>
            <w:rFonts w:cs="Calibri"/>
            <w:noProof/>
          </w:rPr>
          <w:t>3.1.</w:t>
        </w:r>
        <w:r>
          <w:rPr>
            <w:rFonts w:cs="Times New Roman"/>
            <w:i w:val="0"/>
            <w:noProof/>
            <w:sz w:val="22"/>
            <w:szCs w:val="22"/>
          </w:rPr>
          <w:tab/>
        </w:r>
        <w:r w:rsidRPr="00D9390B">
          <w:rPr>
            <w:rStyle w:val="Hyperlink"/>
            <w:rFonts w:cs="Calibri"/>
            <w:noProof/>
          </w:rPr>
          <w:t>Intercambio de información internacional</w:t>
        </w:r>
        <w:r>
          <w:rPr>
            <w:noProof/>
            <w:webHidden/>
          </w:rPr>
          <w:tab/>
        </w:r>
        <w:r>
          <w:rPr>
            <w:noProof/>
            <w:webHidden/>
          </w:rPr>
          <w:fldChar w:fldCharType="begin"/>
        </w:r>
        <w:r>
          <w:rPr>
            <w:noProof/>
            <w:webHidden/>
          </w:rPr>
          <w:instrText xml:space="preserve"> PAGEREF _Toc492313342 \h </w:instrText>
        </w:r>
        <w:r>
          <w:rPr>
            <w:noProof/>
            <w:webHidden/>
          </w:rPr>
        </w:r>
        <w:r>
          <w:rPr>
            <w:noProof/>
            <w:webHidden/>
          </w:rPr>
          <w:fldChar w:fldCharType="separate"/>
        </w:r>
        <w:r>
          <w:rPr>
            <w:noProof/>
            <w:webHidden/>
          </w:rPr>
          <w:t>30</w:t>
        </w:r>
        <w:r>
          <w:rPr>
            <w:noProof/>
            <w:webHidden/>
          </w:rPr>
          <w:fldChar w:fldCharType="end"/>
        </w:r>
      </w:hyperlink>
    </w:p>
    <w:p w:rsidR="00D529C5" w:rsidRDefault="00D529C5">
      <w:pPr>
        <w:pStyle w:val="TOC1"/>
        <w:tabs>
          <w:tab w:val="left" w:pos="442"/>
          <w:tab w:val="right" w:leader="dot" w:pos="8778"/>
        </w:tabs>
        <w:rPr>
          <w:rFonts w:cs="Times New Roman"/>
          <w:bCs w:val="0"/>
          <w:i w:val="0"/>
          <w:noProof/>
          <w:sz w:val="22"/>
          <w:szCs w:val="22"/>
        </w:rPr>
      </w:pPr>
      <w:hyperlink w:anchor="_Toc492313343" w:history="1">
        <w:r w:rsidRPr="00D9390B">
          <w:rPr>
            <w:rStyle w:val="Hyperlink"/>
            <w:rFonts w:cs="Calibri"/>
            <w:noProof/>
          </w:rPr>
          <w:t>4.</w:t>
        </w:r>
        <w:r>
          <w:rPr>
            <w:rFonts w:cs="Times New Roman"/>
            <w:bCs w:val="0"/>
            <w:i w:val="0"/>
            <w:noProof/>
            <w:sz w:val="22"/>
            <w:szCs w:val="22"/>
          </w:rPr>
          <w:tab/>
        </w:r>
        <w:r w:rsidRPr="00D9390B">
          <w:rPr>
            <w:rStyle w:val="Hyperlink"/>
            <w:rFonts w:cs="Calibri"/>
            <w:noProof/>
          </w:rPr>
          <w:t>Paraísos fiscales, Jurisdicciones no cooperantes, jurisdicciones de baja o nula tributación, jurisdicciones opacas</w:t>
        </w:r>
        <w:r>
          <w:rPr>
            <w:noProof/>
            <w:webHidden/>
          </w:rPr>
          <w:tab/>
        </w:r>
        <w:r>
          <w:rPr>
            <w:noProof/>
            <w:webHidden/>
          </w:rPr>
          <w:fldChar w:fldCharType="begin"/>
        </w:r>
        <w:r>
          <w:rPr>
            <w:noProof/>
            <w:webHidden/>
          </w:rPr>
          <w:instrText xml:space="preserve"> PAGEREF _Toc492313343 \h </w:instrText>
        </w:r>
        <w:r>
          <w:rPr>
            <w:noProof/>
            <w:webHidden/>
          </w:rPr>
        </w:r>
        <w:r>
          <w:rPr>
            <w:noProof/>
            <w:webHidden/>
          </w:rPr>
          <w:fldChar w:fldCharType="separate"/>
        </w:r>
        <w:r>
          <w:rPr>
            <w:noProof/>
            <w:webHidden/>
          </w:rPr>
          <w:t>35</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44" w:history="1">
        <w:r w:rsidRPr="00D9390B">
          <w:rPr>
            <w:rStyle w:val="Hyperlink"/>
            <w:rFonts w:cs="Calibri"/>
            <w:noProof/>
          </w:rPr>
          <w:t>4.1.</w:t>
        </w:r>
        <w:r>
          <w:rPr>
            <w:rFonts w:cs="Times New Roman"/>
            <w:i w:val="0"/>
            <w:noProof/>
            <w:sz w:val="22"/>
            <w:szCs w:val="22"/>
          </w:rPr>
          <w:tab/>
        </w:r>
        <w:r w:rsidRPr="00D9390B">
          <w:rPr>
            <w:rStyle w:val="Hyperlink"/>
            <w:rFonts w:cs="Calibri"/>
            <w:noProof/>
          </w:rPr>
          <w:t>Legislación comparada</w:t>
        </w:r>
        <w:r>
          <w:rPr>
            <w:noProof/>
            <w:webHidden/>
          </w:rPr>
          <w:tab/>
        </w:r>
        <w:r>
          <w:rPr>
            <w:noProof/>
            <w:webHidden/>
          </w:rPr>
          <w:fldChar w:fldCharType="begin"/>
        </w:r>
        <w:r>
          <w:rPr>
            <w:noProof/>
            <w:webHidden/>
          </w:rPr>
          <w:instrText xml:space="preserve"> PAGEREF _Toc492313344 \h </w:instrText>
        </w:r>
        <w:r>
          <w:rPr>
            <w:noProof/>
            <w:webHidden/>
          </w:rPr>
        </w:r>
        <w:r>
          <w:rPr>
            <w:noProof/>
            <w:webHidden/>
          </w:rPr>
          <w:fldChar w:fldCharType="separate"/>
        </w:r>
        <w:r>
          <w:rPr>
            <w:noProof/>
            <w:webHidden/>
          </w:rPr>
          <w:t>35</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45" w:history="1">
        <w:r w:rsidRPr="00D9390B">
          <w:rPr>
            <w:rStyle w:val="Hyperlink"/>
            <w:rFonts w:cs="Calibri"/>
            <w:noProof/>
          </w:rPr>
          <w:t>4.1.1.</w:t>
        </w:r>
        <w:r>
          <w:rPr>
            <w:rFonts w:cs="Times New Roman"/>
            <w:i w:val="0"/>
            <w:iCs w:val="0"/>
            <w:noProof/>
            <w:sz w:val="22"/>
            <w:szCs w:val="22"/>
          </w:rPr>
          <w:tab/>
        </w:r>
        <w:r w:rsidRPr="00D9390B">
          <w:rPr>
            <w:rStyle w:val="Hyperlink"/>
            <w:rFonts w:cs="Calibri"/>
            <w:noProof/>
          </w:rPr>
          <w:t>Chile</w:t>
        </w:r>
        <w:r>
          <w:rPr>
            <w:noProof/>
            <w:webHidden/>
          </w:rPr>
          <w:tab/>
        </w:r>
        <w:r>
          <w:rPr>
            <w:noProof/>
            <w:webHidden/>
          </w:rPr>
          <w:fldChar w:fldCharType="begin"/>
        </w:r>
        <w:r>
          <w:rPr>
            <w:noProof/>
            <w:webHidden/>
          </w:rPr>
          <w:instrText xml:space="preserve"> PAGEREF _Toc492313345 \h </w:instrText>
        </w:r>
        <w:r>
          <w:rPr>
            <w:noProof/>
            <w:webHidden/>
          </w:rPr>
        </w:r>
        <w:r>
          <w:rPr>
            <w:noProof/>
            <w:webHidden/>
          </w:rPr>
          <w:fldChar w:fldCharType="separate"/>
        </w:r>
        <w:r>
          <w:rPr>
            <w:noProof/>
            <w:webHidden/>
          </w:rPr>
          <w:t>35</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46" w:history="1">
        <w:r w:rsidRPr="00D9390B">
          <w:rPr>
            <w:rStyle w:val="Hyperlink"/>
            <w:rFonts w:cs="Calibri"/>
            <w:noProof/>
          </w:rPr>
          <w:t>4.1.2.</w:t>
        </w:r>
        <w:r>
          <w:rPr>
            <w:rFonts w:cs="Times New Roman"/>
            <w:i w:val="0"/>
            <w:iCs w:val="0"/>
            <w:noProof/>
            <w:sz w:val="22"/>
            <w:szCs w:val="22"/>
          </w:rPr>
          <w:tab/>
        </w:r>
        <w:r w:rsidRPr="00D9390B">
          <w:rPr>
            <w:rStyle w:val="Hyperlink"/>
            <w:rFonts w:cs="Calibri"/>
            <w:noProof/>
          </w:rPr>
          <w:t>Colombia</w:t>
        </w:r>
        <w:r>
          <w:rPr>
            <w:noProof/>
            <w:webHidden/>
          </w:rPr>
          <w:tab/>
        </w:r>
        <w:r>
          <w:rPr>
            <w:noProof/>
            <w:webHidden/>
          </w:rPr>
          <w:fldChar w:fldCharType="begin"/>
        </w:r>
        <w:r>
          <w:rPr>
            <w:noProof/>
            <w:webHidden/>
          </w:rPr>
          <w:instrText xml:space="preserve"> PAGEREF _Toc492313346 \h </w:instrText>
        </w:r>
        <w:r>
          <w:rPr>
            <w:noProof/>
            <w:webHidden/>
          </w:rPr>
        </w:r>
        <w:r>
          <w:rPr>
            <w:noProof/>
            <w:webHidden/>
          </w:rPr>
          <w:fldChar w:fldCharType="separate"/>
        </w:r>
        <w:r>
          <w:rPr>
            <w:noProof/>
            <w:webHidden/>
          </w:rPr>
          <w:t>38</w:t>
        </w:r>
        <w:r>
          <w:rPr>
            <w:noProof/>
            <w:webHidden/>
          </w:rPr>
          <w:fldChar w:fldCharType="end"/>
        </w:r>
      </w:hyperlink>
    </w:p>
    <w:p w:rsidR="00D529C5" w:rsidRDefault="00D529C5">
      <w:pPr>
        <w:pStyle w:val="TOC3"/>
        <w:tabs>
          <w:tab w:val="left" w:pos="1320"/>
        </w:tabs>
        <w:rPr>
          <w:rFonts w:cs="Times New Roman"/>
          <w:i w:val="0"/>
          <w:iCs w:val="0"/>
          <w:noProof/>
          <w:sz w:val="22"/>
          <w:szCs w:val="22"/>
        </w:rPr>
      </w:pPr>
      <w:hyperlink w:anchor="_Toc492313347" w:history="1">
        <w:r w:rsidRPr="00D9390B">
          <w:rPr>
            <w:rStyle w:val="Hyperlink"/>
            <w:rFonts w:cs="Calibri"/>
            <w:noProof/>
          </w:rPr>
          <w:t>4.1.3.</w:t>
        </w:r>
        <w:r>
          <w:rPr>
            <w:rFonts w:cs="Times New Roman"/>
            <w:i w:val="0"/>
            <w:iCs w:val="0"/>
            <w:noProof/>
            <w:sz w:val="22"/>
            <w:szCs w:val="22"/>
          </w:rPr>
          <w:tab/>
        </w:r>
        <w:r w:rsidRPr="00D9390B">
          <w:rPr>
            <w:rStyle w:val="Hyperlink"/>
            <w:rFonts w:cs="Calibri"/>
            <w:noProof/>
          </w:rPr>
          <w:t>Perú</w:t>
        </w:r>
        <w:r>
          <w:rPr>
            <w:noProof/>
            <w:webHidden/>
          </w:rPr>
          <w:tab/>
        </w:r>
        <w:r>
          <w:rPr>
            <w:noProof/>
            <w:webHidden/>
          </w:rPr>
          <w:fldChar w:fldCharType="begin"/>
        </w:r>
        <w:r>
          <w:rPr>
            <w:noProof/>
            <w:webHidden/>
          </w:rPr>
          <w:instrText xml:space="preserve"> PAGEREF _Toc492313347 \h </w:instrText>
        </w:r>
        <w:r>
          <w:rPr>
            <w:noProof/>
            <w:webHidden/>
          </w:rPr>
        </w:r>
        <w:r>
          <w:rPr>
            <w:noProof/>
            <w:webHidden/>
          </w:rPr>
          <w:fldChar w:fldCharType="separate"/>
        </w:r>
        <w:r>
          <w:rPr>
            <w:noProof/>
            <w:webHidden/>
          </w:rPr>
          <w:t>39</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48" w:history="1">
        <w:r w:rsidRPr="00D9390B">
          <w:rPr>
            <w:rStyle w:val="Hyperlink"/>
            <w:rFonts w:cs="Calibri"/>
            <w:noProof/>
          </w:rPr>
          <w:t>4.2.</w:t>
        </w:r>
        <w:r>
          <w:rPr>
            <w:rFonts w:cs="Times New Roman"/>
            <w:i w:val="0"/>
            <w:noProof/>
            <w:sz w:val="22"/>
            <w:szCs w:val="22"/>
          </w:rPr>
          <w:tab/>
        </w:r>
        <w:r w:rsidRPr="00D9390B">
          <w:rPr>
            <w:rStyle w:val="Hyperlink"/>
            <w:rFonts w:cs="Calibri"/>
            <w:noProof/>
          </w:rPr>
          <w:t>Impacto de la definición de cooperante o no en la tributación</w:t>
        </w:r>
        <w:r>
          <w:rPr>
            <w:noProof/>
            <w:webHidden/>
          </w:rPr>
          <w:tab/>
        </w:r>
        <w:r>
          <w:rPr>
            <w:noProof/>
            <w:webHidden/>
          </w:rPr>
          <w:fldChar w:fldCharType="begin"/>
        </w:r>
        <w:r>
          <w:rPr>
            <w:noProof/>
            <w:webHidden/>
          </w:rPr>
          <w:instrText xml:space="preserve"> PAGEREF _Toc492313348 \h </w:instrText>
        </w:r>
        <w:r>
          <w:rPr>
            <w:noProof/>
            <w:webHidden/>
          </w:rPr>
        </w:r>
        <w:r>
          <w:rPr>
            <w:noProof/>
            <w:webHidden/>
          </w:rPr>
          <w:fldChar w:fldCharType="separate"/>
        </w:r>
        <w:r>
          <w:rPr>
            <w:noProof/>
            <w:webHidden/>
          </w:rPr>
          <w:t>40</w:t>
        </w:r>
        <w:r>
          <w:rPr>
            <w:noProof/>
            <w:webHidden/>
          </w:rPr>
          <w:fldChar w:fldCharType="end"/>
        </w:r>
      </w:hyperlink>
    </w:p>
    <w:p w:rsidR="00D529C5" w:rsidRDefault="00D529C5">
      <w:pPr>
        <w:pStyle w:val="TOC2"/>
        <w:tabs>
          <w:tab w:val="left" w:pos="879"/>
          <w:tab w:val="right" w:leader="dot" w:pos="8778"/>
        </w:tabs>
        <w:rPr>
          <w:rFonts w:cs="Times New Roman"/>
          <w:i w:val="0"/>
          <w:noProof/>
          <w:sz w:val="22"/>
          <w:szCs w:val="22"/>
        </w:rPr>
      </w:pPr>
      <w:hyperlink w:anchor="_Toc492313349" w:history="1">
        <w:r w:rsidRPr="00D9390B">
          <w:rPr>
            <w:rStyle w:val="Hyperlink"/>
            <w:rFonts w:cs="Calibri"/>
            <w:noProof/>
          </w:rPr>
          <w:t>4.3.</w:t>
        </w:r>
        <w:r>
          <w:rPr>
            <w:rFonts w:cs="Times New Roman"/>
            <w:i w:val="0"/>
            <w:noProof/>
            <w:sz w:val="22"/>
            <w:szCs w:val="22"/>
          </w:rPr>
          <w:tab/>
        </w:r>
        <w:r w:rsidRPr="00D9390B">
          <w:rPr>
            <w:rStyle w:val="Hyperlink"/>
            <w:rFonts w:cs="Calibri"/>
            <w:noProof/>
          </w:rPr>
          <w:t>Cambio de paradigma</w:t>
        </w:r>
        <w:r>
          <w:rPr>
            <w:noProof/>
            <w:webHidden/>
          </w:rPr>
          <w:tab/>
        </w:r>
        <w:r>
          <w:rPr>
            <w:noProof/>
            <w:webHidden/>
          </w:rPr>
          <w:fldChar w:fldCharType="begin"/>
        </w:r>
        <w:r>
          <w:rPr>
            <w:noProof/>
            <w:webHidden/>
          </w:rPr>
          <w:instrText xml:space="preserve"> PAGEREF _Toc492313349 \h </w:instrText>
        </w:r>
        <w:r>
          <w:rPr>
            <w:noProof/>
            <w:webHidden/>
          </w:rPr>
        </w:r>
        <w:r>
          <w:rPr>
            <w:noProof/>
            <w:webHidden/>
          </w:rPr>
          <w:fldChar w:fldCharType="separate"/>
        </w:r>
        <w:r>
          <w:rPr>
            <w:noProof/>
            <w:webHidden/>
          </w:rPr>
          <w:t>42</w:t>
        </w:r>
        <w:r>
          <w:rPr>
            <w:noProof/>
            <w:webHidden/>
          </w:rPr>
          <w:fldChar w:fldCharType="end"/>
        </w:r>
      </w:hyperlink>
    </w:p>
    <w:p w:rsidR="00D529C5" w:rsidRDefault="00D529C5">
      <w:pPr>
        <w:pStyle w:val="TOC1"/>
        <w:tabs>
          <w:tab w:val="left" w:pos="442"/>
          <w:tab w:val="right" w:leader="dot" w:pos="8778"/>
        </w:tabs>
        <w:rPr>
          <w:rFonts w:cs="Times New Roman"/>
          <w:bCs w:val="0"/>
          <w:i w:val="0"/>
          <w:noProof/>
          <w:sz w:val="22"/>
          <w:szCs w:val="22"/>
        </w:rPr>
      </w:pPr>
      <w:hyperlink w:anchor="_Toc492313350" w:history="1">
        <w:r w:rsidRPr="00D9390B">
          <w:rPr>
            <w:rStyle w:val="Hyperlink"/>
            <w:rFonts w:cs="Calibri"/>
            <w:noProof/>
          </w:rPr>
          <w:t>5.</w:t>
        </w:r>
        <w:r>
          <w:rPr>
            <w:rFonts w:cs="Times New Roman"/>
            <w:bCs w:val="0"/>
            <w:i w:val="0"/>
            <w:noProof/>
            <w:sz w:val="22"/>
            <w:szCs w:val="22"/>
          </w:rPr>
          <w:tab/>
        </w:r>
        <w:r w:rsidRPr="00D9390B">
          <w:rPr>
            <w:rStyle w:val="Hyperlink"/>
            <w:rFonts w:cs="Calibri"/>
            <w:noProof/>
          </w:rPr>
          <w:t>Reflexiones finales</w:t>
        </w:r>
        <w:r>
          <w:rPr>
            <w:noProof/>
            <w:webHidden/>
          </w:rPr>
          <w:tab/>
        </w:r>
        <w:r>
          <w:rPr>
            <w:noProof/>
            <w:webHidden/>
          </w:rPr>
          <w:fldChar w:fldCharType="begin"/>
        </w:r>
        <w:r>
          <w:rPr>
            <w:noProof/>
            <w:webHidden/>
          </w:rPr>
          <w:instrText xml:space="preserve"> PAGEREF _Toc492313350 \h </w:instrText>
        </w:r>
        <w:r>
          <w:rPr>
            <w:noProof/>
            <w:webHidden/>
          </w:rPr>
        </w:r>
        <w:r>
          <w:rPr>
            <w:noProof/>
            <w:webHidden/>
          </w:rPr>
          <w:fldChar w:fldCharType="separate"/>
        </w:r>
        <w:r>
          <w:rPr>
            <w:noProof/>
            <w:webHidden/>
          </w:rPr>
          <w:t>45</w:t>
        </w:r>
        <w:r>
          <w:rPr>
            <w:noProof/>
            <w:webHidden/>
          </w:rPr>
          <w:fldChar w:fldCharType="end"/>
        </w:r>
      </w:hyperlink>
    </w:p>
    <w:p w:rsidR="00D529C5" w:rsidRDefault="00D529C5" w:rsidP="008E48F7">
      <w:pPr>
        <w:rPr>
          <w:rFonts w:hAnsi="Calibri" w:cs="Calibri"/>
          <w:bCs/>
          <w:i/>
          <w:caps/>
        </w:rPr>
      </w:pPr>
      <w:r w:rsidRPr="0061532E">
        <w:rPr>
          <w:bCs/>
          <w:i/>
          <w:caps/>
        </w:rPr>
        <w:fldChar w:fldCharType="end"/>
      </w:r>
    </w:p>
    <w:p w:rsidR="00D529C5" w:rsidRDefault="00D529C5" w:rsidP="008E48F7">
      <w:pPr>
        <w:rPr>
          <w:rFonts w:hAnsi="Calibri" w:cs="Calibri"/>
          <w:bCs/>
          <w:i/>
          <w:caps/>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Default="00D529C5" w:rsidP="008E48F7">
      <w:pPr>
        <w:rPr>
          <w:rFonts w:hAnsi="Calibri" w:cs="Calibri"/>
          <w:sz w:val="24"/>
          <w:szCs w:val="24"/>
        </w:rPr>
      </w:pPr>
    </w:p>
    <w:p w:rsidR="00D529C5" w:rsidRPr="00166FF5" w:rsidRDefault="00D529C5" w:rsidP="00B609F0">
      <w:pPr>
        <w:pStyle w:val="Heading1"/>
        <w:numPr>
          <w:ilvl w:val="0"/>
          <w:numId w:val="39"/>
        </w:numPr>
        <w:rPr>
          <w:rFonts w:cs="Calibri"/>
          <w:sz w:val="24"/>
          <w:szCs w:val="24"/>
        </w:rPr>
      </w:pPr>
      <w:bookmarkStart w:id="2" w:name="_Toc491335378"/>
      <w:bookmarkStart w:id="3" w:name="_Toc492313311"/>
      <w:bookmarkEnd w:id="0"/>
      <w:r w:rsidRPr="00166FF5">
        <w:rPr>
          <w:rFonts w:cs="Calibri"/>
          <w:sz w:val="24"/>
          <w:szCs w:val="24"/>
        </w:rPr>
        <w:t>Introducción</w:t>
      </w:r>
      <w:bookmarkEnd w:id="2"/>
      <w:bookmarkEnd w:id="3"/>
    </w:p>
    <w:p w:rsidR="00D529C5"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Pr>
          <w:rFonts w:hAnsi="Calibri" w:cs="Calibri"/>
          <w:sz w:val="24"/>
          <w:szCs w:val="24"/>
        </w:rPr>
        <w:t xml:space="preserve">El presente documento tiene por finalidad hacer una descripción de los vehículos que frecuentemente se utilizan para canalizar inversiones en el exterior y describir el impacto tributario de las rentas que estos provocan. Asimismo, se hará alusión al estado actual de una herramienta de control que </w:t>
      </w:r>
      <w:smartTag w:uri="urn:schemas-microsoft-com:office:smarttags" w:element="PersonName">
        <w:smartTagPr>
          <w:attr w:name="ProductID" w:val="la Administración Fiscal"/>
        </w:smartTagPr>
        <w:r>
          <w:rPr>
            <w:rFonts w:hAnsi="Calibri" w:cs="Calibri"/>
            <w:sz w:val="24"/>
            <w:szCs w:val="24"/>
          </w:rPr>
          <w:t>la Administración Fiscal</w:t>
        </w:r>
      </w:smartTag>
      <w:r>
        <w:rPr>
          <w:rFonts w:hAnsi="Calibri" w:cs="Calibri"/>
          <w:sz w:val="24"/>
          <w:szCs w:val="24"/>
        </w:rPr>
        <w:t xml:space="preserve"> puede utilizar para ejercer su función inspectora en relación con cuentas financieras en el exterior. También se realizará una sugerencia en cuanto a modificar el paradigma actual de “jurisdicción cooperante”.</w:t>
      </w:r>
    </w:p>
    <w:p w:rsidR="00D529C5" w:rsidRPr="0011267F" w:rsidRDefault="00D529C5" w:rsidP="00FE52F6">
      <w:pPr>
        <w:pStyle w:val="NormalWeb"/>
        <w:shd w:val="clear" w:color="auto" w:fill="FFFFFF"/>
        <w:spacing w:before="0" w:beforeAutospacing="0" w:after="0" w:afterAutospacing="0"/>
        <w:jc w:val="both"/>
        <w:rPr>
          <w:rFonts w:ascii="Calibri" w:hAnsi="Calibri" w:cs="Calibri"/>
          <w:color w:val="000000"/>
        </w:rPr>
      </w:pPr>
    </w:p>
    <w:p w:rsidR="00D529C5" w:rsidRPr="00A41866" w:rsidRDefault="00D529C5" w:rsidP="00B609F0">
      <w:pPr>
        <w:pStyle w:val="Heading1"/>
        <w:numPr>
          <w:ilvl w:val="0"/>
          <w:numId w:val="39"/>
        </w:numPr>
        <w:rPr>
          <w:rFonts w:cs="Calibri"/>
          <w:sz w:val="24"/>
          <w:szCs w:val="24"/>
        </w:rPr>
      </w:pPr>
      <w:bookmarkStart w:id="4" w:name="_Toc491335379"/>
      <w:bookmarkStart w:id="5" w:name="_Toc492313312"/>
      <w:r w:rsidRPr="00A41866">
        <w:rPr>
          <w:rFonts w:cs="Calibri"/>
          <w:sz w:val="24"/>
          <w:szCs w:val="24"/>
        </w:rPr>
        <w:t>Formas frecuentes de inversión en el exterior</w:t>
      </w:r>
      <w:bookmarkEnd w:id="4"/>
      <w:bookmarkEnd w:id="5"/>
    </w:p>
    <w:p w:rsidR="00D529C5" w:rsidRPr="00977EEC" w:rsidRDefault="00D529C5" w:rsidP="00B609F0">
      <w:pPr>
        <w:pStyle w:val="Heading2"/>
        <w:numPr>
          <w:ilvl w:val="1"/>
          <w:numId w:val="39"/>
        </w:numPr>
      </w:pPr>
      <w:bookmarkStart w:id="6" w:name="_Toc491335380"/>
      <w:bookmarkStart w:id="7" w:name="_Toc492313313"/>
      <w:r w:rsidRPr="00977EEC">
        <w:t>De forma directa</w:t>
      </w:r>
      <w:bookmarkEnd w:id="6"/>
      <w:bookmarkEnd w:id="7"/>
    </w:p>
    <w:p w:rsidR="00D529C5" w:rsidRPr="00DB6712" w:rsidRDefault="00D529C5" w:rsidP="00FE52F6">
      <w:pPr>
        <w:spacing w:after="0" w:line="240" w:lineRule="auto"/>
        <w:jc w:val="both"/>
        <w:rPr>
          <w:rFonts w:hAnsi="Calibri" w:cs="Calibri"/>
          <w:sz w:val="24"/>
          <w:szCs w:val="24"/>
        </w:rPr>
      </w:pPr>
      <w:r w:rsidRPr="00DB6712">
        <w:rPr>
          <w:rFonts w:hAnsi="Calibri" w:cs="Calibri"/>
          <w:sz w:val="24"/>
          <w:szCs w:val="24"/>
        </w:rPr>
        <w:t>En este apartado se tratarán dos tipos usuales de inversión en el exterior</w:t>
      </w:r>
      <w:r>
        <w:rPr>
          <w:rFonts w:hAnsi="Calibri" w:cs="Calibri"/>
          <w:sz w:val="24"/>
          <w:szCs w:val="24"/>
        </w:rPr>
        <w:t xml:space="preserve"> que realizan las personas humanas; en inmuebles e inversiones financieras</w:t>
      </w:r>
      <w:r w:rsidRPr="00DB6712">
        <w:rPr>
          <w:rFonts w:hAnsi="Calibri" w:cs="Calibri"/>
          <w:sz w:val="24"/>
          <w:szCs w:val="24"/>
        </w:rPr>
        <w:t>.</w:t>
      </w:r>
    </w:p>
    <w:p w:rsidR="00D529C5" w:rsidRPr="0011267F" w:rsidRDefault="00D529C5" w:rsidP="00FE52F6">
      <w:pPr>
        <w:spacing w:after="0" w:line="240" w:lineRule="auto"/>
        <w:jc w:val="both"/>
        <w:rPr>
          <w:rFonts w:hAnsi="Calibri" w:cs="Calibri"/>
          <w:b/>
          <w:sz w:val="24"/>
          <w:szCs w:val="24"/>
        </w:rPr>
      </w:pPr>
    </w:p>
    <w:p w:rsidR="00D529C5" w:rsidRPr="0011267F" w:rsidRDefault="00D529C5" w:rsidP="00FE52F6">
      <w:pPr>
        <w:spacing w:after="0" w:line="240" w:lineRule="auto"/>
        <w:jc w:val="both"/>
        <w:rPr>
          <w:rFonts w:hAnsi="Calibri" w:cs="Calibri"/>
          <w:sz w:val="24"/>
          <w:szCs w:val="24"/>
        </w:rPr>
      </w:pPr>
      <w:r>
        <w:rPr>
          <w:rFonts w:hAnsi="Calibri" w:cs="Calibri"/>
          <w:sz w:val="24"/>
          <w:szCs w:val="24"/>
        </w:rPr>
        <w:t>Como regla general, e</w:t>
      </w:r>
      <w:r w:rsidRPr="0011267F">
        <w:rPr>
          <w:rFonts w:hAnsi="Calibri" w:cs="Calibri"/>
          <w:sz w:val="24"/>
          <w:szCs w:val="24"/>
        </w:rPr>
        <w:t xml:space="preserve">n materia de imputación se siguen las reglas del artículo 18 de la ley del gravamen. Por ejemplo, en el caso de inmuebles, los alquileres deberán ser declarados a medida que se devenguen. Es decir, aun cuando no se hubieren cobrado. </w:t>
      </w:r>
      <w:r>
        <w:rPr>
          <w:rFonts w:hAnsi="Calibri" w:cs="Calibri"/>
          <w:sz w:val="24"/>
          <w:szCs w:val="24"/>
        </w:rPr>
        <w:t xml:space="preserve">Por su parte de tratarse de dividendos  o intereses se imputarán por lo percibido. </w:t>
      </w:r>
    </w:p>
    <w:p w:rsidR="00D529C5" w:rsidRPr="0011267F" w:rsidRDefault="00D529C5" w:rsidP="00FE52F6">
      <w:pPr>
        <w:spacing w:after="0" w:line="240" w:lineRule="auto"/>
        <w:jc w:val="both"/>
        <w:rPr>
          <w:rFonts w:hAnsi="Calibri" w:cs="Calibri"/>
          <w:sz w:val="24"/>
          <w:szCs w:val="24"/>
        </w:rPr>
      </w:pPr>
    </w:p>
    <w:p w:rsidR="00D529C5" w:rsidRPr="0011267F" w:rsidRDefault="00D529C5" w:rsidP="00FE52F6">
      <w:pPr>
        <w:spacing w:after="0" w:line="240" w:lineRule="auto"/>
        <w:jc w:val="both"/>
        <w:rPr>
          <w:rFonts w:hAnsi="Calibri" w:cs="Calibri"/>
          <w:sz w:val="24"/>
          <w:szCs w:val="24"/>
        </w:rPr>
      </w:pPr>
      <w:r w:rsidRPr="0011267F">
        <w:rPr>
          <w:rFonts w:hAnsi="Calibri" w:cs="Calibri"/>
          <w:sz w:val="24"/>
          <w:szCs w:val="24"/>
        </w:rPr>
        <w:t>En este caso la ganancia de fuente extranjera se determinará en moneda argentina</w:t>
      </w:r>
      <w:r w:rsidRPr="0011267F">
        <w:rPr>
          <w:rStyle w:val="FootnoteReference"/>
          <w:rFonts w:hAnsi="Calibri" w:cs="Calibri"/>
          <w:sz w:val="24"/>
          <w:szCs w:val="24"/>
        </w:rPr>
        <w:footnoteReference w:id="2"/>
      </w:r>
      <w:r w:rsidRPr="0011267F">
        <w:rPr>
          <w:rFonts w:hAnsi="Calibri" w:cs="Calibri"/>
          <w:sz w:val="24"/>
          <w:szCs w:val="24"/>
        </w:rPr>
        <w:t>. A esos efectos</w:t>
      </w:r>
      <w:r>
        <w:rPr>
          <w:rFonts w:hAnsi="Calibri" w:cs="Calibri"/>
          <w:sz w:val="24"/>
          <w:szCs w:val="24"/>
        </w:rPr>
        <w:t>,</w:t>
      </w:r>
      <w:r w:rsidRPr="0011267F">
        <w:rPr>
          <w:rFonts w:hAnsi="Calibri" w:cs="Calibri"/>
          <w:sz w:val="24"/>
          <w:szCs w:val="24"/>
        </w:rPr>
        <w:t xml:space="preserve"> los ingresos y deducciones </w:t>
      </w:r>
      <w:bookmarkStart w:id="8" w:name="_Hlk491105233"/>
      <w:r w:rsidRPr="0011267F">
        <w:rPr>
          <w:rFonts w:hAnsi="Calibri" w:cs="Calibri"/>
          <w:sz w:val="24"/>
          <w:szCs w:val="24"/>
        </w:rPr>
        <w:t xml:space="preserve">se convertirán al tipo de cambio comprador o vendedor según corresponda, conforme a la cotización del Banco de </w:t>
      </w:r>
      <w:smartTag w:uri="urn:schemas-microsoft-com:office:smarttags" w:element="PersonName">
        <w:smartTagPr>
          <w:attr w:name="ProductID" w:val="la Nación Argentina"/>
        </w:smartTagPr>
        <w:r w:rsidRPr="0011267F">
          <w:rPr>
            <w:rFonts w:hAnsi="Calibri" w:cs="Calibri"/>
            <w:sz w:val="24"/>
            <w:szCs w:val="24"/>
          </w:rPr>
          <w:t>la Nación Argentina</w:t>
        </w:r>
      </w:smartTag>
      <w:r w:rsidRPr="0011267F">
        <w:rPr>
          <w:rFonts w:hAnsi="Calibri" w:cs="Calibri"/>
          <w:sz w:val="24"/>
          <w:szCs w:val="24"/>
        </w:rPr>
        <w:t xml:space="preserve"> al cierre del día en el que </w:t>
      </w:r>
      <w:r>
        <w:rPr>
          <w:rFonts w:hAnsi="Calibri" w:cs="Calibri"/>
          <w:sz w:val="24"/>
          <w:szCs w:val="24"/>
        </w:rPr>
        <w:t>esos ingresos se devenguen, perciban o paguen</w:t>
      </w:r>
      <w:bookmarkEnd w:id="8"/>
      <w:r w:rsidRPr="0011267F">
        <w:rPr>
          <w:rStyle w:val="FootnoteReference"/>
          <w:rFonts w:hAnsi="Calibri" w:cs="Calibri"/>
          <w:sz w:val="24"/>
          <w:szCs w:val="24"/>
        </w:rPr>
        <w:footnoteReference w:id="3"/>
      </w:r>
      <w:r>
        <w:rPr>
          <w:rFonts w:hAnsi="Calibri" w:cs="Calibri"/>
          <w:sz w:val="24"/>
          <w:szCs w:val="24"/>
        </w:rPr>
        <w:t>, en el caso de personas humanas o sucesiones indivisas.</w:t>
      </w:r>
      <w:r w:rsidRPr="0011267F">
        <w:rPr>
          <w:rFonts w:hAnsi="Calibri" w:cs="Calibri"/>
          <w:sz w:val="24"/>
          <w:szCs w:val="24"/>
        </w:rPr>
        <w:t xml:space="preserve"> </w:t>
      </w:r>
      <w:r>
        <w:rPr>
          <w:rFonts w:hAnsi="Calibri" w:cs="Calibri"/>
          <w:sz w:val="24"/>
          <w:szCs w:val="24"/>
        </w:rPr>
        <w:t xml:space="preserve">Por ejemplo, los dividendos o intereses se convertirán a pesos al momento de su percepción. </w:t>
      </w:r>
      <w:r w:rsidRPr="0011267F">
        <w:rPr>
          <w:rFonts w:hAnsi="Calibri" w:cs="Calibri"/>
          <w:sz w:val="24"/>
          <w:szCs w:val="24"/>
        </w:rPr>
        <w:t xml:space="preserve">El esquema que se sigue es </w:t>
      </w:r>
      <w:r>
        <w:rPr>
          <w:rFonts w:hAnsi="Calibri" w:cs="Calibri"/>
          <w:sz w:val="24"/>
          <w:szCs w:val="24"/>
        </w:rPr>
        <w:t>el de convertir y acumular</w:t>
      </w:r>
      <w:r>
        <w:rPr>
          <w:rStyle w:val="FootnoteReference"/>
          <w:rFonts w:hAnsi="Calibri" w:cs="Calibri"/>
          <w:sz w:val="24"/>
          <w:szCs w:val="24"/>
        </w:rPr>
        <w:footnoteReference w:id="4"/>
      </w:r>
      <w:r>
        <w:rPr>
          <w:rFonts w:hAnsi="Calibri" w:cs="Calibri"/>
          <w:sz w:val="24"/>
          <w:szCs w:val="24"/>
        </w:rPr>
        <w:t>.</w:t>
      </w:r>
    </w:p>
    <w:p w:rsidR="00D529C5" w:rsidRPr="0011267F" w:rsidRDefault="00D529C5" w:rsidP="00FE52F6">
      <w:pPr>
        <w:spacing w:after="0" w:line="240" w:lineRule="auto"/>
        <w:jc w:val="both"/>
        <w:rPr>
          <w:rFonts w:hAnsi="Calibri" w:cs="Calibri"/>
          <w:sz w:val="24"/>
          <w:szCs w:val="24"/>
        </w:rPr>
      </w:pPr>
    </w:p>
    <w:p w:rsidR="00D529C5" w:rsidRPr="00BD3E3B" w:rsidRDefault="00D529C5" w:rsidP="00B609F0">
      <w:pPr>
        <w:pStyle w:val="Heading3"/>
        <w:numPr>
          <w:ilvl w:val="2"/>
          <w:numId w:val="39"/>
        </w:numPr>
        <w:rPr>
          <w:rFonts w:ascii="Calibri" w:hAnsi="Calibri" w:cs="Calibri"/>
          <w:color w:val="000000"/>
          <w:sz w:val="24"/>
          <w:szCs w:val="24"/>
        </w:rPr>
      </w:pPr>
      <w:bookmarkStart w:id="9" w:name="_Toc491335381"/>
      <w:bookmarkStart w:id="10" w:name="_Toc492313314"/>
      <w:r w:rsidRPr="00BD3E3B">
        <w:rPr>
          <w:rFonts w:ascii="Calibri" w:hAnsi="Calibri" w:cs="Calibri"/>
          <w:color w:val="000000"/>
          <w:sz w:val="24"/>
          <w:szCs w:val="24"/>
        </w:rPr>
        <w:t>Inversiones en inmuebles</w:t>
      </w:r>
      <w:bookmarkEnd w:id="9"/>
      <w:bookmarkEnd w:id="10"/>
    </w:p>
    <w:p w:rsidR="00D529C5" w:rsidRPr="0011267F" w:rsidRDefault="00D529C5" w:rsidP="0011267F">
      <w:pPr>
        <w:spacing w:after="0" w:line="240" w:lineRule="auto"/>
        <w:jc w:val="both"/>
        <w:rPr>
          <w:rFonts w:hAnsi="Calibri" w:cs="Calibri"/>
          <w:b/>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Respecto </w:t>
      </w:r>
      <w:r>
        <w:rPr>
          <w:rFonts w:hAnsi="Calibri" w:cs="Calibri"/>
          <w:sz w:val="24"/>
          <w:szCs w:val="24"/>
        </w:rPr>
        <w:t>a la</w:t>
      </w:r>
      <w:r w:rsidRPr="0011267F">
        <w:rPr>
          <w:rFonts w:hAnsi="Calibri" w:cs="Calibri"/>
          <w:sz w:val="24"/>
          <w:szCs w:val="24"/>
        </w:rPr>
        <w:t xml:space="preserve"> primera categoría de rentas de fuente extranjera no existe una remisión expresa a considerar las rentas </w:t>
      </w:r>
      <w:r>
        <w:rPr>
          <w:rFonts w:hAnsi="Calibri" w:cs="Calibri"/>
          <w:sz w:val="24"/>
          <w:szCs w:val="24"/>
        </w:rPr>
        <w:t>de fuente argentina como existe respecto de otra categoría de rentas. Sin embargo</w:t>
      </w:r>
      <w:r w:rsidRPr="0011267F">
        <w:rPr>
          <w:rFonts w:hAnsi="Calibri" w:cs="Calibri"/>
          <w:sz w:val="24"/>
          <w:szCs w:val="24"/>
        </w:rPr>
        <w:t xml:space="preserve">, entendemos aplicables éstas en virtud de que </w:t>
      </w:r>
      <w:r w:rsidRPr="0011267F">
        <w:rPr>
          <w:rFonts w:hAnsi="Calibri" w:cs="Calibri"/>
          <w:i/>
          <w:sz w:val="24"/>
          <w:szCs w:val="24"/>
        </w:rPr>
        <w:t>[L]a determinación de la ganancia neta de fuente extranjera se efectuará de acuerdo con lo dispuesto en el artículo 17 y las restantes disposiciones contenidas en los títulos II y III, en tanto su alcance permita relacionarlas con las ganancias de esa fuente, con las modificaciones y adecuaciones previstas en este título …]</w:t>
      </w:r>
      <w:r w:rsidRPr="0011267F">
        <w:rPr>
          <w:rStyle w:val="FootnoteReference"/>
          <w:rFonts w:hAnsi="Calibri" w:cs="Calibri"/>
          <w:i/>
          <w:sz w:val="24"/>
          <w:szCs w:val="24"/>
        </w:rPr>
        <w:footnoteReference w:id="5"/>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Por lo tanto, las ganancias de primera categoría -salvo que correspondiere su inclusión en el artículo 49- que deberán ser declaradas por el propietario de los respectivos bienes raíces, son las siguientes:</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[a)] El producido en dinero o en especie de la locación de inmuebles urbanos y rurales…</w:t>
      </w:r>
      <w:r>
        <w:rPr>
          <w:rFonts w:hAnsi="Calibri" w:cs="Calibri"/>
          <w:i/>
          <w:sz w:val="24"/>
          <w:szCs w:val="24"/>
        </w:rPr>
        <w:t>]</w:t>
      </w:r>
      <w:r w:rsidRPr="0011267F">
        <w:rPr>
          <w:rStyle w:val="FootnoteReference"/>
          <w:rFonts w:hAnsi="Calibri" w:cs="Calibri"/>
          <w:i/>
          <w:sz w:val="24"/>
          <w:szCs w:val="24"/>
        </w:rPr>
        <w:footnoteReference w:id="6"/>
      </w:r>
      <w:r w:rsidRPr="0011267F">
        <w:rPr>
          <w:rFonts w:hAnsi="Calibri" w:cs="Calibri"/>
          <w: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Entendiéndose los </w:t>
      </w:r>
      <w:r>
        <w:rPr>
          <w:rFonts w:hAnsi="Calibri" w:cs="Calibri"/>
          <w:sz w:val="24"/>
          <w:szCs w:val="24"/>
        </w:rPr>
        <w:t xml:space="preserve">alquileres </w:t>
      </w:r>
      <w:r w:rsidRPr="0011267F">
        <w:rPr>
          <w:rFonts w:hAnsi="Calibri" w:cs="Calibri"/>
          <w:sz w:val="24"/>
          <w:szCs w:val="24"/>
        </w:rPr>
        <w:t>devengados, excepto los incobrables, es decir los alquileres adeudados al finalizar los juicios de desalojo y de cobro de pesos; se prevé que, si los réditos tratados impositivamente como incobrables se recuperar</w:t>
      </w:r>
      <w:r>
        <w:rPr>
          <w:rFonts w:hAnsi="Calibri" w:cs="Calibri"/>
          <w:sz w:val="24"/>
          <w:szCs w:val="24"/>
        </w:rPr>
        <w:t>a</w:t>
      </w:r>
      <w:r w:rsidRPr="0011267F">
        <w:rPr>
          <w:rFonts w:hAnsi="Calibri" w:cs="Calibri"/>
          <w:sz w:val="24"/>
          <w:szCs w:val="24"/>
        </w:rPr>
        <w:t>n, corresponderá que se declaren como ganancias en el año en que tal hecho ocurra. Se faculta al Ente Fiscal a considerar otros índices que evidencien la incobrabilidad de los alquileres devengados</w:t>
      </w:r>
      <w:r w:rsidRPr="0011267F">
        <w:rPr>
          <w:rStyle w:val="FootnoteReference"/>
          <w:rFonts w:hAnsi="Calibri" w:cs="Calibri"/>
          <w:sz w:val="24"/>
          <w:szCs w:val="24"/>
        </w:rPr>
        <w:footnoteReference w:id="7"/>
      </w:r>
      <w:r w:rsidRPr="0011267F">
        <w:rPr>
          <w:rFonts w:hAnsi="Calibri" w:cs="Calibri"/>
          <w:sz w:val="24"/>
          <w:szCs w:val="24"/>
        </w:rPr>
        <w:t>.</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[b)] Cualquier especie de contraprestación que se reciba por la constitución a favor de terceros de derechos reales de usufructo, uso, habitación o anticresis…]</w:t>
      </w:r>
      <w:r w:rsidRPr="0011267F">
        <w:rPr>
          <w:rStyle w:val="FootnoteReference"/>
          <w:rFonts w:hAnsi="Calibri" w:cs="Calibri"/>
          <w:i/>
          <w:sz w:val="24"/>
          <w:szCs w:val="24"/>
        </w:rPr>
        <w:footnoteReference w:id="8"/>
      </w:r>
      <w:r w:rsidRPr="0011267F">
        <w:rPr>
          <w:rFonts w:hAnsi="Calibri" w:cs="Calibri"/>
          <w:i/>
          <w:sz w:val="24"/>
          <w:szCs w:val="24"/>
        </w:rPr>
        <w:t>.</w:t>
      </w:r>
      <w:r w:rsidRPr="0011267F">
        <w:rPr>
          <w:rFonts w:hAnsi="Calibri" w:cs="Calibri"/>
          <w:sz w:val="24"/>
          <w:szCs w:val="24"/>
        </w:rPr>
        <w:t xml:space="preserve"> El valor que surja se prorrateará en función del tiempo de duración del contrato respectivo</w:t>
      </w:r>
      <w:r w:rsidRPr="0011267F">
        <w:rPr>
          <w:rStyle w:val="FootnoteReference"/>
          <w:rFonts w:hAnsi="Calibri" w:cs="Calibri"/>
          <w:i/>
          <w:sz w:val="24"/>
          <w:szCs w:val="24"/>
        </w:rPr>
        <w:footnoteReference w:id="9"/>
      </w:r>
      <w:r>
        <w:rPr>
          <w:rFonts w:hAnsi="Calibri" w:cs="Calibri"/>
          <w:sz w:val="24"/>
          <w:szCs w:val="24"/>
        </w:rPr>
        <w:t>.</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[c)] El valor de las mejoras introducidas en los inmuebles, por los arrendatarios o inquilinos, que constituyan un beneficio para el propietario y en la parte que éste no esté obligado a indemnizar…</w:t>
      </w:r>
      <w:r>
        <w:rPr>
          <w:rFonts w:hAnsi="Calibri" w:cs="Calibri"/>
          <w:i/>
          <w:sz w:val="24"/>
          <w:szCs w:val="24"/>
        </w:rPr>
        <w:t>]</w:t>
      </w:r>
      <w:r w:rsidRPr="0011267F">
        <w:rPr>
          <w:rStyle w:val="FootnoteReference"/>
          <w:rFonts w:hAnsi="Calibri" w:cs="Calibri"/>
          <w:sz w:val="24"/>
          <w:szCs w:val="24"/>
        </w:rPr>
        <w:footnoteReference w:id="10"/>
      </w:r>
      <w:r w:rsidRPr="0011267F">
        <w:rPr>
          <w:rFonts w:hAnsi="Calibri" w:cs="Calibri"/>
          <w:i/>
          <w:sz w:val="24"/>
          <w:szCs w:val="24"/>
        </w:rPr>
        <w:t xml:space="preserve">. </w:t>
      </w:r>
      <w:r w:rsidRPr="0011267F">
        <w:rPr>
          <w:rFonts w:hAnsi="Calibri" w:cs="Calibri"/>
          <w:sz w:val="24"/>
          <w:szCs w:val="24"/>
        </w:rPr>
        <w:t>La mejora debe constituir un beneficio para la propiedad de manera tal</w:t>
      </w:r>
      <w:r>
        <w:rPr>
          <w:rFonts w:hAnsi="Calibri" w:cs="Calibri"/>
          <w:sz w:val="24"/>
          <w:szCs w:val="24"/>
        </w:rPr>
        <w:t>,</w:t>
      </w:r>
      <w:r w:rsidRPr="0011267F">
        <w:rPr>
          <w:rFonts w:hAnsi="Calibri" w:cs="Calibri"/>
          <w:sz w:val="24"/>
          <w:szCs w:val="24"/>
        </w:rPr>
        <w:t xml:space="preserve"> que acreciente su valor; el monto a computar anualmente en concepto de mejora será el resultante de distribuir el valor de la mejora proporcionalmente de acuerdo con los años que resten para la expiración del contrato</w:t>
      </w:r>
      <w:r w:rsidRPr="0011267F">
        <w:rPr>
          <w:rStyle w:val="FootnoteReference"/>
          <w:rFonts w:hAnsi="Calibri" w:cs="Calibri"/>
          <w:sz w:val="24"/>
          <w:szCs w:val="24"/>
        </w:rPr>
        <w:footnoteReference w:id="11"/>
      </w:r>
      <w:r w:rsidRPr="0011267F">
        <w:rPr>
          <w:rFonts w:hAnsi="Calibri" w:cs="Calibri"/>
          <w:i/>
          <w:sz w:val="24"/>
          <w:szCs w:val="24"/>
        </w:rPr>
        <w:t>.</w:t>
      </w:r>
      <w:r w:rsidRPr="0011267F">
        <w:rPr>
          <w:rFonts w:hAnsi="Calibri" w:cs="Calibri"/>
          <w:sz w:val="24"/>
          <w:szCs w:val="24"/>
        </w:rPr>
        <w:t xml:space="preserve"> Se faculta al Fisco Nacional a establecer un procedimiento ad hoc para el caso en el que, en</w:t>
      </w:r>
      <w:r w:rsidRPr="0011267F">
        <w:rPr>
          <w:rFonts w:hAnsi="Calibri" w:cs="Calibri"/>
          <w:i/>
          <w:sz w:val="24"/>
          <w:szCs w:val="24"/>
        </w:rPr>
        <w:t xml:space="preserve"> [el contrato de locación no se hubiera estipulado término cierto, o cuando no exista contrato por escrito, o no se determine el valor de las mejoras, por cuya causa el locador desconozca el importe que ha de agregar a la ganancia bruta del inmueble]</w:t>
      </w:r>
      <w:r w:rsidRPr="0011267F">
        <w:rPr>
          <w:rStyle w:val="FootnoteReference"/>
          <w:rFonts w:hAnsi="Calibri" w:cs="Calibri"/>
          <w:i/>
          <w:sz w:val="24"/>
          <w:szCs w:val="24"/>
        </w:rPr>
        <w:footnoteReference w:id="12"/>
      </w:r>
      <w:r w:rsidRPr="0011267F">
        <w:rPr>
          <w:rFonts w:hAnsi="Calibri" w:cs="Calibri"/>
          <w:i/>
          <w:sz w:val="24"/>
          <w:szCs w:val="24"/>
        </w:rPr>
        <w:t>.</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sz w:val="24"/>
          <w:szCs w:val="24"/>
        </w:rPr>
      </w:pPr>
      <w:r>
        <w:rPr>
          <w:rFonts w:hAnsi="Calibri" w:cs="Calibri"/>
          <w:i/>
          <w:sz w:val="24"/>
          <w:szCs w:val="24"/>
        </w:rPr>
        <w:t>[</w:t>
      </w:r>
      <w:r w:rsidRPr="0011267F">
        <w:rPr>
          <w:rFonts w:hAnsi="Calibri" w:cs="Calibri"/>
          <w:i/>
          <w:sz w:val="24"/>
          <w:szCs w:val="24"/>
        </w:rPr>
        <w:t>d</w:t>
      </w:r>
      <w:r>
        <w:rPr>
          <w:rFonts w:hAnsi="Calibri" w:cs="Calibri"/>
          <w:i/>
          <w:sz w:val="24"/>
          <w:szCs w:val="24"/>
        </w:rPr>
        <w:t>]</w:t>
      </w:r>
      <w:r w:rsidRPr="0011267F">
        <w:rPr>
          <w:rFonts w:hAnsi="Calibri" w:cs="Calibri"/>
          <w:i/>
          <w:sz w:val="24"/>
          <w:szCs w:val="24"/>
        </w:rPr>
        <w:t>) La contribución directa o territorial y otros gravámenes que el inquilino o arrendatario haya tomado a su cargo…</w:t>
      </w:r>
      <w:r>
        <w:rPr>
          <w:rFonts w:hAnsi="Calibri" w:cs="Calibri"/>
          <w:i/>
          <w:sz w:val="24"/>
          <w:szCs w:val="24"/>
        </w:rPr>
        <w:t>]</w:t>
      </w:r>
      <w:r w:rsidRPr="0011267F">
        <w:rPr>
          <w:rStyle w:val="FootnoteReference"/>
          <w:rFonts w:hAnsi="Calibri" w:cs="Calibri"/>
          <w:i/>
          <w:sz w:val="24"/>
          <w:szCs w:val="24"/>
        </w:rPr>
        <w:footnoteReference w:id="13"/>
      </w:r>
      <w:r w:rsidRPr="0011267F">
        <w:rPr>
          <w:rFonts w:hAnsi="Calibri" w:cs="Calibri"/>
          <w:i/>
          <w:sz w:val="24"/>
          <w:szCs w:val="24"/>
        </w:rPr>
        <w:t>.</w:t>
      </w:r>
      <w:r w:rsidRPr="0011267F">
        <w:rPr>
          <w:rFonts w:hAnsi="Calibri" w:cs="Calibri"/>
          <w:sz w:val="24"/>
          <w:szCs w:val="24"/>
        </w:rPr>
        <w:t xml:space="preserve"> El decreto </w:t>
      </w:r>
      <w:r>
        <w:rPr>
          <w:rFonts w:hAnsi="Calibri" w:cs="Calibri"/>
          <w:sz w:val="24"/>
          <w:szCs w:val="24"/>
        </w:rPr>
        <w:t xml:space="preserve">indica </w:t>
      </w:r>
      <w:r w:rsidRPr="0011267F">
        <w:rPr>
          <w:rFonts w:hAnsi="Calibri" w:cs="Calibri"/>
          <w:sz w:val="24"/>
          <w:szCs w:val="24"/>
        </w:rPr>
        <w:t>que</w:t>
      </w:r>
      <w:r>
        <w:rPr>
          <w:rFonts w:hAnsi="Calibri" w:cs="Calibri"/>
          <w:sz w:val="24"/>
          <w:szCs w:val="24"/>
        </w:rPr>
        <w:t>,</w:t>
      </w:r>
      <w:r w:rsidRPr="0011267F">
        <w:rPr>
          <w:rFonts w:hAnsi="Calibri" w:cs="Calibri"/>
          <w:sz w:val="24"/>
          <w:szCs w:val="24"/>
        </w:rPr>
        <w:t xml:space="preserve"> también deberán adicionarse los gastos que el inquilino o arrendatario haya tomado a su cargo</w:t>
      </w:r>
      <w:r w:rsidRPr="0011267F">
        <w:rPr>
          <w:rStyle w:val="FootnoteReference"/>
          <w:rFonts w:hAnsi="Calibri" w:cs="Calibri"/>
          <w:sz w:val="24"/>
          <w:szCs w:val="24"/>
        </w:rPr>
        <w:footnoteReference w:id="14"/>
      </w:r>
      <w:r w:rsidRPr="0011267F">
        <w:rPr>
          <w:rFonts w:hAnsi="Calibri" w:cs="Calibri"/>
          <w:sz w:val="24"/>
          <w:szCs w:val="24"/>
        </w:rPr>
        <w:t>;</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i/>
          <w:sz w:val="24"/>
          <w:szCs w:val="24"/>
        </w:rPr>
      </w:pPr>
      <w:r>
        <w:rPr>
          <w:rFonts w:hAnsi="Calibri" w:cs="Calibri"/>
          <w:i/>
          <w:sz w:val="24"/>
          <w:szCs w:val="24"/>
        </w:rPr>
        <w:t>[</w:t>
      </w:r>
      <w:r w:rsidRPr="0011267F">
        <w:rPr>
          <w:rFonts w:hAnsi="Calibri" w:cs="Calibri"/>
          <w:i/>
          <w:sz w:val="24"/>
          <w:szCs w:val="24"/>
        </w:rPr>
        <w:t>e)</w:t>
      </w:r>
      <w:r>
        <w:rPr>
          <w:rFonts w:hAnsi="Calibri" w:cs="Calibri"/>
          <w:i/>
          <w:sz w:val="24"/>
          <w:szCs w:val="24"/>
        </w:rPr>
        <w:t>]</w:t>
      </w:r>
      <w:r w:rsidRPr="0011267F">
        <w:rPr>
          <w:rFonts w:hAnsi="Calibri" w:cs="Calibri"/>
          <w:i/>
          <w:sz w:val="24"/>
          <w:szCs w:val="24"/>
        </w:rPr>
        <w:t xml:space="preserve"> El importe abonado por los inquilinos o arrendatarios por el uso de muebles y otros accesorios o servicios que suministre el propietario.</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 xml:space="preserve">f) </w:t>
      </w:r>
      <w:bookmarkStart w:id="12" w:name="_Hlk491009319"/>
      <w:r w:rsidRPr="0011267F">
        <w:rPr>
          <w:rFonts w:hAnsi="Calibri" w:cs="Calibri"/>
          <w:i/>
          <w:sz w:val="24"/>
          <w:szCs w:val="24"/>
        </w:rPr>
        <w:t>El valor locativo computable por los inmuebles que sus propietarios ocupen para recreo, veraneo u otros fines semejantes.</w:t>
      </w:r>
    </w:p>
    <w:p w:rsidR="00D529C5" w:rsidRPr="0011267F" w:rsidRDefault="00D529C5" w:rsidP="0011267F">
      <w:pPr>
        <w:spacing w:after="0" w:line="240" w:lineRule="auto"/>
        <w:jc w:val="both"/>
        <w:rPr>
          <w:rFonts w:hAnsi="Calibri" w:cs="Calibri"/>
          <w:i/>
          <w:sz w:val="24"/>
          <w:szCs w:val="24"/>
        </w:rPr>
      </w:pPr>
    </w:p>
    <w:bookmarkEnd w:id="12"/>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g) El valor locativo o arrendamiento presunto de inmuebles cedidos gratuitamente o a un precio no determinado]</w:t>
      </w:r>
      <w:r>
        <w:rPr>
          <w:rStyle w:val="FootnoteReference"/>
          <w:rFonts w:hAnsi="Calibri" w:cs="Calibri"/>
          <w:i/>
          <w:sz w:val="24"/>
          <w:szCs w:val="24"/>
        </w:rPr>
        <w:footnoteReference w:id="15"/>
      </w:r>
      <w:r w:rsidRPr="0011267F">
        <w:rPr>
          <w:rFonts w:hAnsi="Calibri" w:cs="Calibri"/>
          <w: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Si un inmueble urbano o rural es objeto de sublocación, el locatario deberá incorporar bajo esta categoría, la ganancia que obtenga en dinero o en especie por dicha sublocación</w:t>
      </w:r>
      <w:r w:rsidRPr="0011267F">
        <w:rPr>
          <w:rStyle w:val="FootnoteReference"/>
          <w:rFonts w:hAnsi="Calibri" w:cs="Calibri"/>
          <w:sz w:val="24"/>
          <w:szCs w:val="24"/>
        </w:rPr>
        <w:footnoteReference w:id="16"/>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A fin de determinar la ganancia neta originada en la locación de un inmueble que se destina a </w:t>
      </w:r>
      <w:r>
        <w:rPr>
          <w:rFonts w:hAnsi="Calibri" w:cs="Calibri"/>
          <w:sz w:val="24"/>
          <w:szCs w:val="24"/>
        </w:rPr>
        <w:t>locación</w:t>
      </w:r>
      <w:r w:rsidRPr="0011267F">
        <w:rPr>
          <w:rFonts w:hAnsi="Calibri" w:cs="Calibri"/>
          <w:sz w:val="24"/>
          <w:szCs w:val="24"/>
        </w:rPr>
        <w:t xml:space="preserve"> pero que, solo ha sido efectivamente alquilado</w:t>
      </w:r>
      <w:r>
        <w:rPr>
          <w:rFonts w:hAnsi="Calibri" w:cs="Calibri"/>
          <w:sz w:val="24"/>
          <w:szCs w:val="24"/>
        </w:rPr>
        <w:t xml:space="preserve"> parte del año fiscal, se podrá</w:t>
      </w:r>
      <w:r w:rsidRPr="0011267F">
        <w:rPr>
          <w:rFonts w:hAnsi="Calibri" w:cs="Calibri"/>
          <w:sz w:val="24"/>
          <w:szCs w:val="24"/>
        </w:rPr>
        <w:t xml:space="preserve"> deducir de la ganancia bruta los gastos que dicho inmueble irrogue por todo el año. Por el contrario, si el inmueble no </w:t>
      </w:r>
      <w:r>
        <w:rPr>
          <w:rFonts w:hAnsi="Calibri" w:cs="Calibri"/>
          <w:sz w:val="24"/>
          <w:szCs w:val="24"/>
        </w:rPr>
        <w:t xml:space="preserve">se </w:t>
      </w:r>
      <w:r w:rsidRPr="0011267F">
        <w:rPr>
          <w:rFonts w:hAnsi="Calibri" w:cs="Calibri"/>
          <w:sz w:val="24"/>
          <w:szCs w:val="24"/>
        </w:rPr>
        <w:t xml:space="preserve">hubiere </w:t>
      </w:r>
      <w:r>
        <w:rPr>
          <w:rFonts w:hAnsi="Calibri" w:cs="Calibri"/>
          <w:sz w:val="24"/>
          <w:szCs w:val="24"/>
        </w:rPr>
        <w:t>alquilado</w:t>
      </w:r>
      <w:r w:rsidRPr="0011267F">
        <w:rPr>
          <w:rFonts w:hAnsi="Calibri" w:cs="Calibri"/>
          <w:sz w:val="24"/>
          <w:szCs w:val="24"/>
        </w:rPr>
        <w:t xml:space="preserve"> y no</w:t>
      </w:r>
      <w:r>
        <w:rPr>
          <w:rFonts w:hAnsi="Calibri" w:cs="Calibri"/>
          <w:sz w:val="24"/>
          <w:szCs w:val="24"/>
        </w:rPr>
        <w:t xml:space="preserve"> hubiere</w:t>
      </w:r>
      <w:r w:rsidRPr="0011267F">
        <w:rPr>
          <w:rFonts w:hAnsi="Calibri" w:cs="Calibri"/>
          <w:sz w:val="24"/>
          <w:szCs w:val="24"/>
        </w:rPr>
        <w:t xml:space="preserve"> genera</w:t>
      </w:r>
      <w:r>
        <w:rPr>
          <w:rFonts w:hAnsi="Calibri" w:cs="Calibri"/>
          <w:sz w:val="24"/>
          <w:szCs w:val="24"/>
        </w:rPr>
        <w:t>do</w:t>
      </w:r>
      <w:r w:rsidRPr="0011267F">
        <w:rPr>
          <w:rFonts w:hAnsi="Calibri" w:cs="Calibri"/>
          <w:sz w:val="24"/>
          <w:szCs w:val="24"/>
        </w:rPr>
        <w:t xml:space="preserve"> ingresos gravados en el año fiscal, los gastos correspondientes al mismo no resultan deducibles</w:t>
      </w:r>
      <w:r w:rsidRPr="0011267F">
        <w:rPr>
          <w:rStyle w:val="FootnoteReference"/>
          <w:rFonts w:hAnsi="Calibri" w:cs="Calibri"/>
          <w:sz w:val="24"/>
          <w:szCs w:val="24"/>
        </w:rPr>
        <w:footnoteReference w:id="17"/>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También el Organismo Fiscal puede fijar de oficio la ganancia correspondiente en los supuestos de inmuebles cedidos en locación, usufructo, uso, habitación o anticresis a un precio menor al arrendamiento que rija en la zona en la que tales bienes se encuentren situados</w:t>
      </w:r>
      <w:r w:rsidRPr="0011267F">
        <w:rPr>
          <w:rStyle w:val="FootnoteReference"/>
          <w:rFonts w:hAnsi="Calibri" w:cs="Calibri"/>
          <w:sz w:val="24"/>
          <w:szCs w:val="24"/>
        </w:rPr>
        <w:footnoteReference w:id="18"/>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Una particularidad respecto de los pagos de arrendamientos en especie, la ganancia a declarar surgirá del valor de los productos recibidos el que será equivalente al valor de realización en el año fiscal, o si no se realizare, a su precio de plaza al final de dicho año; situación en la que la diferencia entre el precio de venta y el de plaza al momento señalado constituirá ganancia o quebranto del año en que se produzca la venta</w:t>
      </w:r>
      <w:r w:rsidRPr="0011267F">
        <w:rPr>
          <w:rStyle w:val="FootnoteReference"/>
          <w:rFonts w:hAnsi="Calibri" w:cs="Calibri"/>
          <w:sz w:val="24"/>
          <w:szCs w:val="24"/>
        </w:rPr>
        <w:footnoteReference w:id="19"/>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Finalmente, ante transmisiones gratuitas de nuda propiedad de un inmueble, pero preservando el derecho a los frutos -de cualquier naturaleza- uso o habitación, corresponderá que se exteriorice la ganancia que emerja de la explotación o el valor locativo, según corresponda, no estando habilitada deducción en concepto de alquileres o arrendamientos, aun cuando se hubiere estipulado su pago</w:t>
      </w:r>
      <w:r w:rsidRPr="0011267F">
        <w:rPr>
          <w:rStyle w:val="FootnoteReference"/>
          <w:rFonts w:hAnsi="Calibri" w:cs="Calibri"/>
          <w:sz w:val="24"/>
          <w:szCs w:val="24"/>
        </w:rPr>
        <w:footnoteReference w:id="20"/>
      </w:r>
      <w:r w:rsidRPr="0011267F">
        <w:rPr>
          <w:rFonts w:hAnsi="Calibri" w:cs="Calibri"/>
          <w:sz w:val="24"/>
          <w:szCs w:val="24"/>
        </w:rPr>
        <w:t>.</w:t>
      </w:r>
    </w:p>
    <w:p w:rsidR="00D529C5" w:rsidRDefault="00D529C5" w:rsidP="0011267F">
      <w:pPr>
        <w:spacing w:after="0" w:line="240" w:lineRule="auto"/>
        <w:jc w:val="both"/>
        <w:rPr>
          <w:rFonts w:hAnsi="Calibri" w:cs="Calibri"/>
          <w:sz w:val="24"/>
          <w:szCs w:val="24"/>
        </w:rPr>
      </w:pPr>
    </w:p>
    <w:p w:rsidR="00D529C5" w:rsidRPr="00317387" w:rsidRDefault="00D529C5" w:rsidP="00B609F0">
      <w:pPr>
        <w:pStyle w:val="Heading4"/>
        <w:numPr>
          <w:ilvl w:val="0"/>
          <w:numId w:val="40"/>
        </w:numPr>
        <w:rPr>
          <w:rFonts w:ascii="Calibri" w:hAnsi="Calibri" w:cs="Calibri"/>
          <w:i w:val="0"/>
          <w:color w:val="auto"/>
          <w:sz w:val="24"/>
          <w:szCs w:val="24"/>
        </w:rPr>
      </w:pPr>
      <w:bookmarkStart w:id="13" w:name="_Toc492313315"/>
      <w:r>
        <w:rPr>
          <w:rFonts w:ascii="Calibri" w:hAnsi="Calibri" w:cs="Calibri"/>
          <w:i w:val="0"/>
          <w:color w:val="auto"/>
          <w:sz w:val="24"/>
          <w:szCs w:val="24"/>
        </w:rPr>
        <w:t>Distintos t</w:t>
      </w:r>
      <w:r w:rsidRPr="00317387">
        <w:rPr>
          <w:rFonts w:ascii="Calibri" w:hAnsi="Calibri" w:cs="Calibri"/>
          <w:i w:val="0"/>
          <w:color w:val="auto"/>
          <w:sz w:val="24"/>
          <w:szCs w:val="24"/>
        </w:rPr>
        <w:t xml:space="preserve">emas </w:t>
      </w:r>
      <w:r>
        <w:rPr>
          <w:rFonts w:ascii="Calibri" w:hAnsi="Calibri" w:cs="Calibri"/>
          <w:i w:val="0"/>
          <w:color w:val="auto"/>
          <w:sz w:val="24"/>
          <w:szCs w:val="24"/>
        </w:rPr>
        <w:t>vinculados a inmuebles</w:t>
      </w:r>
      <w:bookmarkEnd w:id="13"/>
    </w:p>
    <w:p w:rsidR="00D529C5" w:rsidRPr="00317387" w:rsidRDefault="00D529C5" w:rsidP="00B609F0">
      <w:pPr>
        <w:pStyle w:val="Heading5"/>
        <w:numPr>
          <w:ilvl w:val="0"/>
          <w:numId w:val="41"/>
        </w:numPr>
        <w:rPr>
          <w:rFonts w:ascii="Calibri" w:hAnsi="Calibri" w:cs="Calibri"/>
          <w:b/>
          <w:color w:val="auto"/>
          <w:sz w:val="24"/>
          <w:szCs w:val="24"/>
        </w:rPr>
      </w:pPr>
      <w:bookmarkStart w:id="14" w:name="_Toc492313316"/>
      <w:r w:rsidRPr="00317387">
        <w:rPr>
          <w:rFonts w:ascii="Calibri" w:hAnsi="Calibri" w:cs="Calibri"/>
          <w:b/>
          <w:color w:val="auto"/>
          <w:sz w:val="24"/>
          <w:szCs w:val="24"/>
        </w:rPr>
        <w:t>Valor locativo</w:t>
      </w:r>
      <w:bookmarkEnd w:id="14"/>
    </w:p>
    <w:p w:rsidR="00D529C5" w:rsidRDefault="00D529C5" w:rsidP="0011267F">
      <w:pPr>
        <w:spacing w:after="0" w:line="240" w:lineRule="auto"/>
        <w:jc w:val="both"/>
        <w:rPr>
          <w:rFonts w:hAnsi="Calibri" w:cs="Calibri"/>
          <w:b/>
          <w:sz w:val="24"/>
          <w:szCs w:val="24"/>
        </w:rPr>
      </w:pPr>
    </w:p>
    <w:p w:rsidR="00D529C5" w:rsidRPr="004E5BB8" w:rsidRDefault="00D529C5" w:rsidP="0011267F">
      <w:pPr>
        <w:spacing w:after="0" w:line="240" w:lineRule="auto"/>
        <w:jc w:val="both"/>
        <w:rPr>
          <w:rFonts w:hAnsi="Calibri" w:cs="Calibri"/>
          <w:sz w:val="24"/>
          <w:szCs w:val="24"/>
        </w:rPr>
      </w:pPr>
      <w:r w:rsidRPr="004E5BB8">
        <w:rPr>
          <w:rFonts w:hAnsi="Calibri" w:cs="Calibri"/>
          <w:sz w:val="24"/>
          <w:szCs w:val="24"/>
        </w:rPr>
        <w:t>Existe una normativa particular respecto de la determinación de las ganancias de fuente extranjera de esta categoría. La ley para esta categoría de rentas, además de prever el valor locativo por los inmuebles que sus propietarios ocupen para recreo, veraneo u otros fines semejantes incluye el correspondiente a los inmuebles situados en países extranjeros que sus propietarios destinen a vivienda permanente, manteniéndolas habilitadas para brindarles alojamiento en todo tiempo y de manera continuada</w:t>
      </w:r>
      <w:r w:rsidRPr="004E5BB8">
        <w:rPr>
          <w:rStyle w:val="FootnoteReference"/>
          <w:rFonts w:hAnsi="Calibri" w:cs="Calibri"/>
          <w:sz w:val="24"/>
          <w:szCs w:val="24"/>
        </w:rPr>
        <w:footnoteReference w:id="21"/>
      </w:r>
      <w:r w:rsidRPr="004E5BB8">
        <w:rPr>
          <w:rFonts w:hAnsi="Calibri" w:cs="Calibri"/>
          <w:sz w:val="24"/>
          <w:szCs w:val="24"/>
        </w:rPr>
        <w:t>. El legislador introduce el concepto de “d</w:t>
      </w:r>
      <w:r>
        <w:rPr>
          <w:rFonts w:hAnsi="Calibri" w:cs="Calibri"/>
          <w:sz w:val="24"/>
          <w:szCs w:val="24"/>
        </w:rPr>
        <w:t>estino</w:t>
      </w:r>
      <w:r w:rsidRPr="004E5BB8">
        <w:rPr>
          <w:rFonts w:hAnsi="Calibri" w:cs="Calibri"/>
          <w:sz w:val="24"/>
          <w:szCs w:val="24"/>
        </w:rPr>
        <w:t>” a los efectos de definir la gravabilidad de este tipo de renta, haciendo una distinción respecto del criterio seguido para la determinación del valor locativo de los inmuebles del país. Mientras que en este último caso, la gravabilidad se manifiesta ante la “ocupación o uso” del bien, para los inmuebles situados en el exterior se define un criterio de “</w:t>
      </w:r>
      <w:r>
        <w:rPr>
          <w:rFonts w:hAnsi="Calibri" w:cs="Calibri"/>
          <w:sz w:val="24"/>
          <w:szCs w:val="24"/>
        </w:rPr>
        <w:t>destino</w:t>
      </w:r>
      <w:r w:rsidRPr="004E5BB8">
        <w:rPr>
          <w:rFonts w:hAnsi="Calibri" w:cs="Calibri"/>
          <w:sz w:val="24"/>
          <w:szCs w:val="24"/>
        </w:rPr>
        <w:t xml:space="preserve">”, con lo cual el alcance de la norma es más amplio ya que la sola disponibilidad del bien para su uso </w:t>
      </w:r>
      <w:r>
        <w:rPr>
          <w:rFonts w:hAnsi="Calibri" w:cs="Calibri"/>
          <w:sz w:val="24"/>
          <w:szCs w:val="24"/>
        </w:rPr>
        <w:t>-</w:t>
      </w:r>
      <w:r w:rsidRPr="004E5BB8">
        <w:rPr>
          <w:rFonts w:hAnsi="Calibri" w:cs="Calibri"/>
          <w:sz w:val="24"/>
          <w:szCs w:val="24"/>
        </w:rPr>
        <w:t>sin interesar su ocupación- dispara la aplicación del concepto de valor locativo respecto de ese inmueble.</w:t>
      </w:r>
    </w:p>
    <w:p w:rsidR="00D529C5" w:rsidRPr="0011267F" w:rsidRDefault="00D529C5" w:rsidP="0011267F">
      <w:pPr>
        <w:spacing w:after="0" w:line="240" w:lineRule="auto"/>
        <w:jc w:val="both"/>
        <w:rPr>
          <w:rFonts w:hAnsi="Calibri" w:cs="Calibri"/>
          <w:sz w:val="24"/>
          <w:szCs w:val="24"/>
        </w:rPr>
      </w:pPr>
    </w:p>
    <w:p w:rsidR="00D529C5" w:rsidRPr="004E5BB8" w:rsidRDefault="00D529C5" w:rsidP="004E5BB8">
      <w:pPr>
        <w:spacing w:after="0" w:line="240" w:lineRule="auto"/>
        <w:jc w:val="both"/>
        <w:rPr>
          <w:rFonts w:hAnsi="Calibri" w:cs="Calibri"/>
          <w:color w:val="000000"/>
          <w:sz w:val="24"/>
          <w:szCs w:val="24"/>
        </w:rPr>
      </w:pPr>
      <w:r w:rsidRPr="0011267F">
        <w:rPr>
          <w:rFonts w:hAnsi="Calibri" w:cs="Calibri"/>
          <w:sz w:val="24"/>
          <w:szCs w:val="24"/>
        </w:rPr>
        <w:t xml:space="preserve">También, la norma consagra una presunción absoluta al estipular que cuando corresponda aplicar los incisos f) y g) del artículo 41 a inmuebles situados en el exterior, el valor locativo o arrendamiento presunto atribuible a los dichos inmuebles, </w:t>
      </w:r>
      <w:r w:rsidRPr="0011267F">
        <w:rPr>
          <w:rFonts w:hAnsi="Calibri" w:cs="Calibri"/>
          <w:i/>
          <w:sz w:val="24"/>
          <w:szCs w:val="24"/>
        </w:rPr>
        <w:t>no será inferior</w:t>
      </w:r>
      <w:r w:rsidRPr="0011267F">
        <w:rPr>
          <w:rFonts w:hAnsi="Calibri" w:cs="Calibri"/>
          <w:sz w:val="24"/>
          <w:szCs w:val="24"/>
        </w:rPr>
        <w:t xml:space="preserve"> al alquiler o arrendamiento que obtendría el propietario si alquilase o arrendase el bien o la parte del mismo que ocupa o cede gratuitamente o a un precio no determinado</w:t>
      </w:r>
      <w:r w:rsidRPr="0011267F">
        <w:rPr>
          <w:rStyle w:val="FootnoteReference"/>
          <w:rFonts w:hAnsi="Calibri" w:cs="Calibri"/>
          <w:sz w:val="24"/>
          <w:szCs w:val="24"/>
        </w:rPr>
        <w:footnoteReference w:id="22"/>
      </w:r>
      <w:r w:rsidRPr="0011267F">
        <w:rPr>
          <w:rFonts w:hAnsi="Calibri" w:cs="Calibri"/>
          <w:sz w:val="24"/>
          <w:szCs w:val="24"/>
        </w:rPr>
        <w:t>.</w:t>
      </w:r>
      <w:r>
        <w:rPr>
          <w:rFonts w:hAnsi="Calibri" w:cs="Calibri"/>
          <w:sz w:val="24"/>
          <w:szCs w:val="24"/>
        </w:rPr>
        <w:t xml:space="preserve"> </w:t>
      </w:r>
      <w:r w:rsidRPr="004E5BB8">
        <w:rPr>
          <w:rFonts w:hAnsi="Calibri" w:cs="Calibri"/>
          <w:color w:val="000000"/>
          <w:sz w:val="24"/>
          <w:szCs w:val="24"/>
        </w:rPr>
        <w:t xml:space="preserve">Es práctica fiscal doméstica realizar circularizaciones a agentes inmobiliarios a efectos de conocer los valores de locación de inmuebles; en cuanto a los inmuebles del exterior, corresponderá documentar los valores que se declaren a los efectos del impuesto sobre los bienes personales, debiéndose tener presente que el valor de la locación deberá guardar relación con la valuación antedicha. Por otra parte, el Fisco en el futuro puede </w:t>
      </w:r>
      <w:r>
        <w:rPr>
          <w:rFonts w:hAnsi="Calibri" w:cs="Calibri"/>
          <w:color w:val="000000"/>
          <w:sz w:val="24"/>
          <w:szCs w:val="24"/>
        </w:rPr>
        <w:t>aplicar más intensivamente</w:t>
      </w:r>
      <w:r w:rsidRPr="004E5BB8">
        <w:rPr>
          <w:rFonts w:hAnsi="Calibri" w:cs="Calibri"/>
          <w:color w:val="000000"/>
          <w:sz w:val="24"/>
          <w:szCs w:val="24"/>
        </w:rPr>
        <w:t xml:space="preserve"> sus facultades de recolección de datos y de confirmación de los mismos a través de los instrumentos de intercambio de información internacional. </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Ahora bien, concretamente, los inmuebles en el exterior, muchos de ellos son de uso múltiple ya que, por ejemplo, se encuentran ubicados en lugares de veraneo vgr. Punta del Este; usualmente se alquilan enero y febrero con el objetivo de cubrir sus costos de mantenimiento y expensas. Los propietarios suelen disfrutarlos en los meses de diciembre, marzo, o cuando no se alquilan, y el resto del año se encuentra</w:t>
      </w:r>
      <w:r>
        <w:rPr>
          <w:rFonts w:hAnsi="Calibri" w:cs="Calibri"/>
          <w:sz w:val="24"/>
          <w:szCs w:val="24"/>
        </w:rPr>
        <w:t>n desocupados.</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Pr>
          <w:rFonts w:hAnsi="Calibri" w:cs="Calibri"/>
          <w:sz w:val="24"/>
          <w:szCs w:val="24"/>
        </w:rPr>
        <w:t xml:space="preserve">Respecto de los </w:t>
      </w:r>
      <w:r w:rsidRPr="0011267F">
        <w:rPr>
          <w:rFonts w:hAnsi="Calibri" w:cs="Calibri"/>
          <w:sz w:val="24"/>
          <w:szCs w:val="24"/>
        </w:rPr>
        <w:t>inmuebles</w:t>
      </w:r>
      <w:r>
        <w:rPr>
          <w:rFonts w:hAnsi="Calibri" w:cs="Calibri"/>
          <w:sz w:val="24"/>
          <w:szCs w:val="24"/>
        </w:rPr>
        <w:t xml:space="preserve"> en el país que</w:t>
      </w:r>
      <w:r w:rsidRPr="0011267F">
        <w:rPr>
          <w:rFonts w:hAnsi="Calibri" w:cs="Calibri"/>
          <w:sz w:val="24"/>
          <w:szCs w:val="24"/>
        </w:rPr>
        <w:t xml:space="preserve"> son susceptibles de generar renta presunta en los términos de la ley del tributo</w:t>
      </w:r>
      <w:r>
        <w:rPr>
          <w:rFonts w:hAnsi="Calibri" w:cs="Calibri"/>
          <w:sz w:val="24"/>
          <w:szCs w:val="24"/>
        </w:rPr>
        <w:t xml:space="preserve"> ¿</w:t>
      </w:r>
      <w:r w:rsidRPr="0011267F">
        <w:rPr>
          <w:rFonts w:hAnsi="Calibri" w:cs="Calibri"/>
          <w:sz w:val="24"/>
          <w:szCs w:val="24"/>
        </w:rPr>
        <w:t xml:space="preserve">cabría la posibilidad de declarar los alquileres reales por los períodos alquilados y computar gastos reales (¿anuales o proporcionales?), </w:t>
      </w:r>
      <w:r>
        <w:rPr>
          <w:rFonts w:hAnsi="Calibri" w:cs="Calibri"/>
          <w:sz w:val="24"/>
          <w:szCs w:val="24"/>
        </w:rPr>
        <w:t xml:space="preserve">y </w:t>
      </w:r>
      <w:r w:rsidRPr="0011267F">
        <w:rPr>
          <w:rFonts w:hAnsi="Calibri" w:cs="Calibri"/>
          <w:sz w:val="24"/>
          <w:szCs w:val="24"/>
        </w:rPr>
        <w:t>declarar un valor locativo por los períodos restantes</w:t>
      </w:r>
      <w:r>
        <w:rPr>
          <w:rFonts w:hAnsi="Calibri" w:cs="Calibri"/>
          <w:sz w:val="24"/>
          <w:szCs w:val="24"/>
        </w:rPr>
        <w:t>? D</w:t>
      </w:r>
      <w:r w:rsidRPr="0011267F">
        <w:rPr>
          <w:rFonts w:hAnsi="Calibri" w:cs="Calibri"/>
          <w:sz w:val="24"/>
          <w:szCs w:val="24"/>
        </w:rPr>
        <w:t>educir la totalidad de los gastos anuales s</w:t>
      </w:r>
      <w:r>
        <w:rPr>
          <w:rFonts w:hAnsi="Calibri" w:cs="Calibri"/>
          <w:sz w:val="24"/>
          <w:szCs w:val="24"/>
        </w:rPr>
        <w:t>igue</w:t>
      </w:r>
      <w:r w:rsidRPr="0011267F">
        <w:rPr>
          <w:rFonts w:hAnsi="Calibri" w:cs="Calibri"/>
          <w:sz w:val="24"/>
          <w:szCs w:val="24"/>
        </w:rPr>
        <w:t xml:space="preserve"> la lógica de que</w:t>
      </w:r>
      <w:r>
        <w:rPr>
          <w:rFonts w:hAnsi="Calibri" w:cs="Calibri"/>
          <w:sz w:val="24"/>
          <w:szCs w:val="24"/>
        </w:rPr>
        <w:t>,</w:t>
      </w:r>
      <w:r w:rsidRPr="0011267F">
        <w:rPr>
          <w:rFonts w:hAnsi="Calibri" w:cs="Calibri"/>
          <w:sz w:val="24"/>
          <w:szCs w:val="24"/>
        </w:rPr>
        <w:t xml:space="preserve"> si éstos no se afrontaran no se podría generar renta en el período estival.</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Pr>
          <w:rFonts w:hAnsi="Calibri" w:cs="Calibri"/>
          <w:sz w:val="24"/>
          <w:szCs w:val="24"/>
        </w:rPr>
        <w:t>En relación a ello, e</w:t>
      </w:r>
      <w:r w:rsidRPr="0011267F">
        <w:rPr>
          <w:rFonts w:hAnsi="Calibri" w:cs="Calibri"/>
          <w:sz w:val="24"/>
          <w:szCs w:val="24"/>
        </w:rPr>
        <w:t>l Fisco concluyó que el valor locativo debía computarse por el periodo en que el inmueble se enc</w:t>
      </w:r>
      <w:r>
        <w:rPr>
          <w:rFonts w:hAnsi="Calibri" w:cs="Calibri"/>
          <w:sz w:val="24"/>
          <w:szCs w:val="24"/>
        </w:rPr>
        <w:t>ontraba</w:t>
      </w:r>
      <w:r w:rsidRPr="0011267F">
        <w:rPr>
          <w:rFonts w:hAnsi="Calibri" w:cs="Calibri"/>
          <w:sz w:val="24"/>
          <w:szCs w:val="24"/>
        </w:rPr>
        <w:t xml:space="preserve"> ocupado. Respecto del lapso por el que p</w:t>
      </w:r>
      <w:r>
        <w:rPr>
          <w:rFonts w:hAnsi="Calibri" w:cs="Calibri"/>
          <w:sz w:val="24"/>
          <w:szCs w:val="24"/>
        </w:rPr>
        <w:t>odían</w:t>
      </w:r>
      <w:r w:rsidRPr="0011267F">
        <w:rPr>
          <w:rFonts w:hAnsi="Calibri" w:cs="Calibri"/>
          <w:sz w:val="24"/>
          <w:szCs w:val="24"/>
        </w:rPr>
        <w:t xml:space="preserve"> considerarse los gastos y deducciones, </w:t>
      </w:r>
      <w:r>
        <w:rPr>
          <w:rFonts w:hAnsi="Calibri" w:cs="Calibri"/>
          <w:sz w:val="24"/>
          <w:szCs w:val="24"/>
        </w:rPr>
        <w:t xml:space="preserve">era equivalente al </w:t>
      </w:r>
      <w:r w:rsidRPr="0011267F">
        <w:rPr>
          <w:rFonts w:hAnsi="Calibri" w:cs="Calibri"/>
          <w:sz w:val="24"/>
          <w:szCs w:val="24"/>
        </w:rPr>
        <w:t xml:space="preserve">mismo período -se entiende, en el período en el </w:t>
      </w:r>
      <w:r>
        <w:rPr>
          <w:rFonts w:hAnsi="Calibri" w:cs="Calibri"/>
          <w:sz w:val="24"/>
          <w:szCs w:val="24"/>
        </w:rPr>
        <w:t xml:space="preserve">que el </w:t>
      </w:r>
      <w:r w:rsidRPr="0011267F">
        <w:rPr>
          <w:rFonts w:hAnsi="Calibri" w:cs="Calibri"/>
          <w:sz w:val="24"/>
          <w:szCs w:val="24"/>
        </w:rPr>
        <w:t>inmueble se encuentra ocupado-</w:t>
      </w:r>
      <w:r>
        <w:rPr>
          <w:rFonts w:hAnsi="Calibri" w:cs="Calibri"/>
          <w:sz w:val="24"/>
          <w:szCs w:val="24"/>
        </w:rPr>
        <w:t>; sin embargo,</w:t>
      </w:r>
      <w:r w:rsidRPr="0011267F">
        <w:rPr>
          <w:rFonts w:hAnsi="Calibri" w:cs="Calibri"/>
          <w:sz w:val="24"/>
          <w:szCs w:val="24"/>
        </w:rPr>
        <w:t xml:space="preserve"> los gastos serán computables hasta la concurrencia de tales ingresos presuntos</w:t>
      </w:r>
      <w:r w:rsidRPr="0011267F">
        <w:rPr>
          <w:rStyle w:val="FootnoteReference"/>
          <w:rFonts w:hAnsi="Calibri" w:cs="Calibri"/>
          <w:sz w:val="24"/>
          <w:szCs w:val="24"/>
        </w:rPr>
        <w:footnoteReference w:id="23"/>
      </w:r>
      <w:r>
        <w:rPr>
          <w:rFonts w:hAnsi="Calibri" w:cs="Calibri"/>
          <w:sz w:val="24"/>
          <w:szCs w:val="24"/>
        </w:rPr>
        <w:t>.</w:t>
      </w:r>
      <w:r w:rsidRPr="0011267F">
        <w:rPr>
          <w:rFonts w:hAnsi="Calibri" w:cs="Calibri"/>
          <w:sz w:val="24"/>
          <w:szCs w:val="24"/>
        </w:rPr>
        <w:t xml:space="preserve"> </w:t>
      </w:r>
      <w:r>
        <w:rPr>
          <w:rFonts w:hAnsi="Calibri" w:cs="Calibri"/>
          <w:sz w:val="24"/>
          <w:szCs w:val="24"/>
        </w:rPr>
        <w:t>A contrario sensu, podría derivarse de lo antedicho que para los inmuebles del exterior- en los que se sigue -como ya se dijera, el criterio de “destino”- cabría la determinación de un valor locativo anual y de deducciones en concepto de gastos por el mismo período.</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i/>
          <w:sz w:val="24"/>
          <w:szCs w:val="24"/>
        </w:rPr>
      </w:pPr>
      <w:r>
        <w:rPr>
          <w:rFonts w:hAnsi="Calibri" w:cs="Calibri"/>
          <w:sz w:val="24"/>
          <w:szCs w:val="24"/>
        </w:rPr>
        <w:t>Ahora bien</w:t>
      </w:r>
      <w:r w:rsidRPr="0011267F">
        <w:rPr>
          <w:rFonts w:hAnsi="Calibri" w:cs="Calibri"/>
          <w:sz w:val="24"/>
          <w:szCs w:val="24"/>
        </w:rPr>
        <w:t xml:space="preserve">, si los gastos exceden </w:t>
      </w:r>
      <w:r>
        <w:rPr>
          <w:rFonts w:hAnsi="Calibri" w:cs="Calibri"/>
          <w:sz w:val="24"/>
          <w:szCs w:val="24"/>
        </w:rPr>
        <w:t>a los ingresos</w:t>
      </w:r>
      <w:r w:rsidRPr="0011267F">
        <w:rPr>
          <w:rFonts w:hAnsi="Calibri" w:cs="Calibri"/>
          <w:sz w:val="24"/>
          <w:szCs w:val="24"/>
        </w:rPr>
        <w:t xml:space="preserve"> no será viable computar el resultado negativo que pueda originarse dado que,</w:t>
      </w:r>
      <w:r>
        <w:rPr>
          <w:rFonts w:hAnsi="Calibri" w:cs="Calibri"/>
          <w:sz w:val="24"/>
          <w:szCs w:val="24"/>
        </w:rPr>
        <w:t xml:space="preserve"> si</w:t>
      </w:r>
      <w:r w:rsidRPr="0011267F">
        <w:rPr>
          <w:rFonts w:hAnsi="Calibri" w:cs="Calibri"/>
          <w:sz w:val="24"/>
          <w:szCs w:val="24"/>
        </w:rPr>
        <w:t xml:space="preserve"> </w:t>
      </w:r>
      <w:r w:rsidRPr="0011267F">
        <w:rPr>
          <w:rFonts w:hAnsi="Calibri" w:cs="Calibri"/>
          <w:i/>
          <w:sz w:val="24"/>
          <w:szCs w:val="24"/>
        </w:rPr>
        <w:t>[e]l resultado neto de las inversiones de lujo, recreo personal y similares, establecido conforme con las disposiciones de esta ley, acuse pérdida, no se computará a los efectos del impuesto]</w:t>
      </w:r>
      <w:r w:rsidRPr="0011267F">
        <w:rPr>
          <w:rStyle w:val="FootnoteReference"/>
          <w:rFonts w:hAnsi="Calibri" w:cs="Calibri"/>
          <w:i/>
          <w:sz w:val="24"/>
          <w:szCs w:val="24"/>
        </w:rPr>
        <w:footnoteReference w:id="24"/>
      </w:r>
      <w:r w:rsidRPr="0011267F">
        <w:rPr>
          <w:rFonts w:hAnsi="Calibri" w:cs="Calibri"/>
          <w:i/>
          <w:sz w:val="24"/>
          <w:szCs w:val="24"/>
        </w:rPr>
        <w:t>.</w:t>
      </w:r>
    </w:p>
    <w:p w:rsidR="00D529C5" w:rsidRPr="0011267F"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bCs/>
          <w:sz w:val="24"/>
          <w:szCs w:val="24"/>
        </w:rPr>
      </w:pPr>
      <w:r w:rsidRPr="0011267F">
        <w:rPr>
          <w:rFonts w:hAnsi="Calibri" w:cs="Calibri"/>
          <w:sz w:val="24"/>
          <w:szCs w:val="24"/>
        </w:rPr>
        <w:t xml:space="preserve">En cuanto al tratamiento a brindarse a los impuestos y tasas que recaen sobre un inmueble sobre el cual se calcula valor locativo en los términos del artículo 41 inciso f) de la </w:t>
      </w:r>
      <w:r>
        <w:rPr>
          <w:rFonts w:hAnsi="Calibri" w:cs="Calibri"/>
          <w:sz w:val="24"/>
          <w:szCs w:val="24"/>
        </w:rPr>
        <w:t>ley del tributo</w:t>
      </w:r>
      <w:r w:rsidRPr="0011267F">
        <w:rPr>
          <w:rFonts w:hAnsi="Calibri" w:cs="Calibri"/>
          <w:sz w:val="24"/>
          <w:szCs w:val="24"/>
        </w:rPr>
        <w:t>, serán deducibles cuando resulte obligatorio declarar ese valor locativo</w:t>
      </w:r>
      <w:r>
        <w:rPr>
          <w:rFonts w:hAnsi="Calibri" w:cs="Calibri"/>
          <w:sz w:val="24"/>
          <w:szCs w:val="24"/>
        </w:rPr>
        <w:t>.</w:t>
      </w:r>
      <w:r w:rsidRPr="0011267F">
        <w:rPr>
          <w:rStyle w:val="FootnoteReference"/>
          <w:rFonts w:hAnsi="Calibri" w:cs="Calibri"/>
          <w:bCs/>
          <w:sz w:val="24"/>
          <w:szCs w:val="24"/>
        </w:rPr>
        <w:footnoteReference w:id="25"/>
      </w:r>
      <w:r w:rsidRPr="0011267F">
        <w:rPr>
          <w:rFonts w:hAnsi="Calibri" w:cs="Calibri"/>
          <w:bCs/>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Desde otra perspectiva, no corresponderá establecer un valor locativo presunto </w:t>
      </w:r>
      <w:r>
        <w:rPr>
          <w:rFonts w:hAnsi="Calibri" w:cs="Calibri"/>
          <w:sz w:val="24"/>
          <w:szCs w:val="24"/>
        </w:rPr>
        <w:t xml:space="preserve">respecto de inmuebles en el país </w:t>
      </w:r>
      <w:r w:rsidRPr="0011267F">
        <w:rPr>
          <w:rFonts w:hAnsi="Calibri" w:cs="Calibri"/>
          <w:sz w:val="24"/>
          <w:szCs w:val="24"/>
        </w:rPr>
        <w:t xml:space="preserve">cuando se deban aplicar las presunciones </w:t>
      </w:r>
      <w:r>
        <w:rPr>
          <w:rFonts w:hAnsi="Calibri" w:cs="Calibri"/>
          <w:sz w:val="24"/>
          <w:szCs w:val="24"/>
        </w:rPr>
        <w:t>de ganancia neta para los</w:t>
      </w:r>
      <w:r w:rsidRPr="0011267F">
        <w:rPr>
          <w:rFonts w:hAnsi="Calibri" w:cs="Calibri"/>
          <w:sz w:val="24"/>
          <w:szCs w:val="24"/>
        </w:rPr>
        <w:t xml:space="preserve"> beneficiarios del exterior </w:t>
      </w:r>
      <w:r>
        <w:rPr>
          <w:rFonts w:hAnsi="Calibri" w:cs="Calibri"/>
          <w:sz w:val="24"/>
          <w:szCs w:val="24"/>
        </w:rPr>
        <w:t xml:space="preserve">a que se refiere </w:t>
      </w:r>
      <w:r w:rsidRPr="0011267F">
        <w:rPr>
          <w:rFonts w:hAnsi="Calibri" w:cs="Calibri"/>
          <w:sz w:val="24"/>
          <w:szCs w:val="24"/>
        </w:rPr>
        <w:t>el artículo 91</w:t>
      </w:r>
      <w:r>
        <w:rPr>
          <w:rFonts w:hAnsi="Calibri" w:cs="Calibri"/>
          <w:sz w:val="24"/>
          <w:szCs w:val="24"/>
        </w:rPr>
        <w:t xml:space="preserve"> y siguientes</w:t>
      </w:r>
      <w:r w:rsidRPr="0011267F">
        <w:rPr>
          <w:rFonts w:hAnsi="Calibri" w:cs="Calibri"/>
          <w:sz w:val="24"/>
          <w:szCs w:val="24"/>
        </w:rPr>
        <w:t xml:space="preserve"> de la ley del gravamen</w:t>
      </w:r>
      <w:r w:rsidRPr="0011267F">
        <w:rPr>
          <w:rStyle w:val="FootnoteReference"/>
          <w:rFonts w:hAnsi="Calibri" w:cs="Calibri"/>
          <w:sz w:val="24"/>
          <w:szCs w:val="24"/>
        </w:rPr>
        <w:footnoteReference w:id="26"/>
      </w:r>
      <w:r w:rsidRPr="0011267F">
        <w:rPr>
          <w:rFonts w:hAnsi="Calibri" w:cs="Calibri"/>
          <w:sz w:val="24"/>
          <w:szCs w:val="24"/>
        </w:rPr>
        <w:t>.</w:t>
      </w:r>
      <w:r>
        <w:rPr>
          <w:rFonts w:hAnsi="Calibri" w:cs="Calibri"/>
          <w:sz w:val="24"/>
          <w:szCs w:val="24"/>
        </w:rPr>
        <w:t xml:space="preserve"> Ello se basa en el carácter presuntivo del valor locativo, y en el hecho de que, la aplicación de las retenciones a los beneficiarios del exterior se enlaza con la noción de disposición de fondos.</w:t>
      </w:r>
    </w:p>
    <w:p w:rsidR="00D529C5" w:rsidRPr="005E517D" w:rsidRDefault="00D529C5" w:rsidP="001A6DD9">
      <w:pPr>
        <w:pStyle w:val="Heading5"/>
        <w:numPr>
          <w:ilvl w:val="0"/>
          <w:numId w:val="41"/>
        </w:numPr>
        <w:rPr>
          <w:rFonts w:ascii="Calibri" w:hAnsi="Calibri" w:cs="Calibri"/>
          <w:b/>
          <w:color w:val="auto"/>
          <w:sz w:val="24"/>
          <w:szCs w:val="24"/>
        </w:rPr>
      </w:pPr>
      <w:bookmarkStart w:id="15" w:name="_Toc492313317"/>
      <w:r w:rsidRPr="005E517D">
        <w:rPr>
          <w:rFonts w:ascii="Calibri" w:hAnsi="Calibri" w:cs="Calibri"/>
          <w:b/>
          <w:color w:val="auto"/>
          <w:sz w:val="24"/>
          <w:szCs w:val="24"/>
        </w:rPr>
        <w:t>Deducciones admitidas</w:t>
      </w:r>
      <w:bookmarkEnd w:id="15"/>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A su vez siguiendo las pautas establecidas de la ley en cuanto a deducciones admitidas a fin de determinar las ganancias de fuente extranjera, debe señalarse que </w:t>
      </w:r>
      <w:r>
        <w:rPr>
          <w:rFonts w:hAnsi="Calibri" w:cs="Calibri"/>
          <w:sz w:val="24"/>
          <w:szCs w:val="24"/>
        </w:rPr>
        <w:t xml:space="preserve">respecto </w:t>
      </w:r>
      <w:r w:rsidRPr="0011267F">
        <w:rPr>
          <w:rFonts w:hAnsi="Calibri" w:cs="Calibri"/>
          <w:sz w:val="24"/>
          <w:szCs w:val="24"/>
        </w:rPr>
        <w:t xml:space="preserve">a las correspondientes a la primera categoría se admitirá computar, con las adecuaciones pertinentes, las </w:t>
      </w:r>
      <w:r>
        <w:rPr>
          <w:rFonts w:hAnsi="Calibri" w:cs="Calibri"/>
          <w:sz w:val="24"/>
          <w:szCs w:val="24"/>
        </w:rPr>
        <w:t>que seguidamente se señalarán</w:t>
      </w:r>
      <w:r w:rsidRPr="0011267F">
        <w:rPr>
          <w:rStyle w:val="FootnoteReference"/>
          <w:rFonts w:hAnsi="Calibri" w:cs="Calibri"/>
          <w:sz w:val="24"/>
          <w:szCs w:val="24"/>
        </w:rPr>
        <w:footnoteReference w:id="27"/>
      </w:r>
      <w:r>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En cuanto a los gastos de mantenimiento de inmuebles urbanos se podrá ejercer la opción de adoptar alguno de los siguientes procedimientos:</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[a)] Deducción de gastos reales a base de comprobantes.</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b) Deducción de los gastos presuntos que resulten de aplicar el coeficiente del CINCO POR CIENTO (5 %) sobre la renta bruta del inmueble, porcentaje que involucra los gastos de mantenimiento por todo concepto (reparaciones, gastos de administración, primas de seguro, etc.)]</w:t>
      </w:r>
      <w:r w:rsidRPr="0011267F">
        <w:rPr>
          <w:rStyle w:val="FootnoteReference"/>
          <w:rFonts w:hAnsi="Calibri" w:cs="Calibri"/>
          <w:i/>
          <w:sz w:val="24"/>
          <w:szCs w:val="24"/>
        </w:rPr>
        <w:footnoteReference w:id="28"/>
      </w:r>
      <w:r w:rsidRPr="0011267F">
        <w:rPr>
          <w:rFonts w:hAnsi="Calibri" w:cs="Calibri"/>
          <w: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El procedimiento por el que se opte será de aplicación obligatoria para todos los, inmuebles que posea el contribuyente y deberá ser mantenido por cinco años, contados desde el período, inclusive, en que se hubiere empleado la opción</w:t>
      </w:r>
      <w:r w:rsidRPr="0011267F">
        <w:rPr>
          <w:rStyle w:val="FootnoteReference"/>
          <w:rFonts w:hAnsi="Calibri" w:cs="Calibri"/>
          <w:sz w:val="24"/>
          <w:szCs w:val="24"/>
        </w:rPr>
        <w:footnoteReference w:id="29"/>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Se encuentran impedidos de utilizar la opción prevista en el inciso b) transcripto aquellas per</w:t>
      </w:r>
      <w:r>
        <w:rPr>
          <w:rFonts w:hAnsi="Calibri" w:cs="Calibri"/>
          <w:sz w:val="24"/>
          <w:szCs w:val="24"/>
        </w:rPr>
        <w:t>sonas que por su naturaleza deba</w:t>
      </w:r>
      <w:r w:rsidRPr="0011267F">
        <w:rPr>
          <w:rFonts w:hAnsi="Calibri" w:cs="Calibri"/>
          <w:sz w:val="24"/>
          <w:szCs w:val="24"/>
        </w:rPr>
        <w:t>n llevar libros o t</w:t>
      </w:r>
      <w:r>
        <w:rPr>
          <w:rFonts w:hAnsi="Calibri" w:cs="Calibri"/>
          <w:sz w:val="24"/>
          <w:szCs w:val="24"/>
        </w:rPr>
        <w:t>engan</w:t>
      </w:r>
      <w:r w:rsidRPr="0011267F">
        <w:rPr>
          <w:rFonts w:hAnsi="Calibri" w:cs="Calibri"/>
          <w:sz w:val="24"/>
          <w:szCs w:val="24"/>
        </w:rPr>
        <w:t xml:space="preserve"> administradores que deben rendirles cuenta de su gestión</w:t>
      </w:r>
      <w:r w:rsidRPr="0011267F">
        <w:rPr>
          <w:rStyle w:val="FootnoteReference"/>
          <w:rFonts w:hAnsi="Calibri" w:cs="Calibri"/>
          <w:sz w:val="24"/>
          <w:szCs w:val="24"/>
        </w:rPr>
        <w:footnoteReference w:id="30"/>
      </w:r>
      <w:r w:rsidRPr="0011267F">
        <w:rPr>
          <w:rFonts w:hAnsi="Calibri" w:cs="Calibri"/>
          <w:sz w:val="24"/>
          <w:szCs w:val="24"/>
        </w:rPr>
        <w:t>. Esta restricción opera debido a que no es admisible que en estos casos no se lleve comprobantes.</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En cuanto a los inmuebles rurales, los gastos a deducir deberán seguir el procedimiento de gastos reales comprobados</w:t>
      </w:r>
      <w:r w:rsidRPr="0011267F">
        <w:rPr>
          <w:rStyle w:val="FootnoteReference"/>
          <w:rFonts w:hAnsi="Calibri" w:cs="Calibri"/>
          <w:sz w:val="24"/>
          <w:szCs w:val="24"/>
        </w:rPr>
        <w:footnoteReference w:id="31"/>
      </w:r>
      <w:r w:rsidRPr="0011267F">
        <w:rPr>
          <w:rFonts w:hAnsi="Calibri" w:cs="Calibri"/>
          <w:sz w:val="24"/>
          <w:szCs w:val="24"/>
        </w:rPr>
        <w:t>.</w:t>
      </w:r>
    </w:p>
    <w:p w:rsidR="00D529C5" w:rsidRDefault="00D529C5" w:rsidP="0011267F">
      <w:pPr>
        <w:spacing w:after="0" w:line="240" w:lineRule="auto"/>
        <w:jc w:val="both"/>
        <w:rPr>
          <w:rFonts w:hAnsi="Calibri" w:cs="Calibri"/>
          <w:sz w:val="24"/>
          <w:szCs w:val="24"/>
        </w:rPr>
      </w:pPr>
    </w:p>
    <w:p w:rsidR="00D529C5" w:rsidRPr="005E517D" w:rsidRDefault="00D529C5" w:rsidP="001A6DD9">
      <w:pPr>
        <w:pStyle w:val="Heading5"/>
        <w:numPr>
          <w:ilvl w:val="0"/>
          <w:numId w:val="41"/>
        </w:numPr>
        <w:rPr>
          <w:rFonts w:ascii="Calibri" w:hAnsi="Calibri" w:cs="Calibri"/>
          <w:b/>
          <w:color w:val="auto"/>
          <w:sz w:val="24"/>
          <w:szCs w:val="24"/>
        </w:rPr>
      </w:pPr>
      <w:bookmarkStart w:id="16" w:name="_Toc492313318"/>
      <w:r w:rsidRPr="005E517D">
        <w:rPr>
          <w:rFonts w:ascii="Calibri" w:hAnsi="Calibri" w:cs="Calibri"/>
          <w:b/>
          <w:color w:val="auto"/>
          <w:sz w:val="24"/>
          <w:szCs w:val="24"/>
        </w:rPr>
        <w:t>Venta y reemplazo</w:t>
      </w:r>
      <w:bookmarkEnd w:id="16"/>
    </w:p>
    <w:p w:rsidR="00D529C5" w:rsidRPr="0011267F"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 xml:space="preserve">En cierta oportunidad se consultó al Organismo Fiscal sobre sí resultaba posible aplicar el mecanismo de roll over en el caso </w:t>
      </w:r>
      <w:r>
        <w:rPr>
          <w:rFonts w:hAnsi="Calibri" w:cs="Calibri"/>
          <w:sz w:val="24"/>
          <w:szCs w:val="24"/>
        </w:rPr>
        <w:t xml:space="preserve">en el </w:t>
      </w:r>
      <w:r w:rsidRPr="0011267F">
        <w:rPr>
          <w:rFonts w:hAnsi="Calibri" w:cs="Calibri"/>
          <w:sz w:val="24"/>
          <w:szCs w:val="24"/>
        </w:rPr>
        <w:t>que el bien a comprar se encuentr</w:t>
      </w:r>
      <w:r>
        <w:rPr>
          <w:rFonts w:hAnsi="Calibri" w:cs="Calibri"/>
          <w:sz w:val="24"/>
          <w:szCs w:val="24"/>
        </w:rPr>
        <w:t>e</w:t>
      </w:r>
      <w:r w:rsidRPr="0011267F">
        <w:rPr>
          <w:rFonts w:hAnsi="Calibri" w:cs="Calibri"/>
          <w:sz w:val="24"/>
          <w:szCs w:val="24"/>
        </w:rPr>
        <w:t xml:space="preserve"> ubicado en el exterior -generador de renta de fuente extranjera para su titular- y el bien que se vende se encuentr</w:t>
      </w:r>
      <w:r>
        <w:rPr>
          <w:rFonts w:hAnsi="Calibri" w:cs="Calibri"/>
          <w:sz w:val="24"/>
          <w:szCs w:val="24"/>
        </w:rPr>
        <w:t>e</w:t>
      </w:r>
      <w:r w:rsidRPr="0011267F">
        <w:rPr>
          <w:rFonts w:hAnsi="Calibri" w:cs="Calibri"/>
          <w:sz w:val="24"/>
          <w:szCs w:val="24"/>
        </w:rPr>
        <w:t xml:space="preserve"> en el país</w:t>
      </w:r>
      <w:r w:rsidRPr="0011267F">
        <w:rPr>
          <w:rStyle w:val="FootnoteReference"/>
          <w:rFonts w:hAnsi="Calibri" w:cs="Calibri"/>
          <w:sz w:val="24"/>
          <w:szCs w:val="24"/>
        </w:rPr>
        <w:footnoteReference w:id="32"/>
      </w:r>
      <w:r w:rsidRPr="0011267F">
        <w:rPr>
          <w:rFonts w:hAnsi="Calibri" w:cs="Calibri"/>
          <w:sz w:val="24"/>
          <w:szCs w:val="24"/>
        </w:rPr>
        <w:t xml:space="preserve">. </w:t>
      </w:r>
    </w:p>
    <w:p w:rsidR="00D529C5"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Se sostuvo que, en principio, de las normas que rigen la venta y reemplazo en nuestro ordenamiento impositivo no se encontraba impedimento alguno respecto a que, el bien a comprarse con el producido de la venta del bien a ser reemplazado se encuentre en el exterior</w:t>
      </w:r>
      <w:r w:rsidRPr="0011267F">
        <w:rPr>
          <w:rStyle w:val="FootnoteReference"/>
          <w:rFonts w:hAnsi="Calibri" w:cs="Calibri"/>
          <w:sz w:val="24"/>
          <w:szCs w:val="24"/>
        </w:rPr>
        <w:footnoteReference w:id="33"/>
      </w:r>
      <w:r>
        <w:rPr>
          <w:rFonts w:hAnsi="Calibri" w:cs="Calibri"/>
          <w:sz w:val="24"/>
          <w:szCs w:val="24"/>
        </w:rPr>
        <w:t>.</w:t>
      </w:r>
    </w:p>
    <w:p w:rsidR="00D529C5"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 xml:space="preserve">El Órgano Asesor del Fisco recuerda que los establecimientos permanentes del extranjero deben llevar una contabilidad separada de la de sus titulares a fin de determinar el resultado impositivo de fuente extranjera, el que se va a establecer según lo dispuesto en el artículo 17 y las normas pertinentes los Títulos II y III de la ley del gravamen, con las modificaciones y adecuaciones previstas en el Título IX. </w:t>
      </w:r>
    </w:p>
    <w:p w:rsidR="00D529C5"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En cuanto a la determinación de la renta del sujeto titular en el país, aquélla deberá ser establecida como si el establecimiento permanente fuera un tercero. Por ello, a fin de </w:t>
      </w:r>
      <w:r w:rsidRPr="0011267F">
        <w:rPr>
          <w:rFonts w:hAnsi="Calibri" w:cs="Calibri"/>
          <w:color w:val="333333"/>
          <w:sz w:val="24"/>
          <w:szCs w:val="24"/>
        </w:rPr>
        <w:t>preservar la gravabilidad de los resultados de fuente argentina por parte del Fisco Nacional, toda vez que el nuevo bien de reemplazo genera</w:t>
      </w:r>
      <w:r>
        <w:rPr>
          <w:rFonts w:hAnsi="Calibri" w:cs="Calibri"/>
          <w:color w:val="333333"/>
          <w:sz w:val="24"/>
          <w:szCs w:val="24"/>
        </w:rPr>
        <w:t>rá</w:t>
      </w:r>
      <w:r w:rsidRPr="0011267F">
        <w:rPr>
          <w:rFonts w:hAnsi="Calibri" w:cs="Calibri"/>
          <w:color w:val="333333"/>
          <w:sz w:val="24"/>
          <w:szCs w:val="24"/>
        </w:rPr>
        <w:t xml:space="preserve"> una mayor ganancia al momento de su realización que se sometería a imposición en un país extranjero, la opción de imputación de la ganancia de la enajenación de un bien de uso al costo del nuevo bien de reemplazo resulta procedente sólo en el ámbito del territorio nacional</w:t>
      </w:r>
      <w:r w:rsidRPr="0011267F">
        <w:rPr>
          <w:rStyle w:val="FootnoteReference"/>
          <w:rFonts w:hAnsi="Calibri" w:cs="Calibri"/>
          <w:color w:val="333333"/>
          <w:sz w:val="24"/>
          <w:szCs w:val="24"/>
        </w:rPr>
        <w:footnoteReference w:id="34"/>
      </w:r>
      <w:r w:rsidRPr="0011267F">
        <w:rPr>
          <w:rFonts w:hAnsi="Calibri" w:cs="Calibri"/>
          <w:color w:val="333333"/>
          <w:sz w:val="24"/>
          <w:szCs w:val="24"/>
        </w:rPr>
        <w:t>.</w:t>
      </w:r>
    </w:p>
    <w:p w:rsidR="00D529C5" w:rsidRPr="0011267F" w:rsidRDefault="00D529C5" w:rsidP="0011267F">
      <w:pPr>
        <w:spacing w:after="0" w:line="240" w:lineRule="auto"/>
        <w:jc w:val="both"/>
        <w:rPr>
          <w:rFonts w:hAnsi="Calibri" w:cs="Calibri"/>
          <w:sz w:val="24"/>
          <w:szCs w:val="24"/>
        </w:rPr>
      </w:pPr>
    </w:p>
    <w:p w:rsidR="00D529C5" w:rsidRPr="005E517D" w:rsidRDefault="00D529C5" w:rsidP="001A6DD9">
      <w:pPr>
        <w:pStyle w:val="Heading5"/>
        <w:numPr>
          <w:ilvl w:val="0"/>
          <w:numId w:val="41"/>
        </w:numPr>
        <w:rPr>
          <w:rFonts w:ascii="Calibri" w:hAnsi="Calibri" w:cs="Calibri"/>
          <w:b/>
          <w:color w:val="auto"/>
          <w:sz w:val="24"/>
          <w:szCs w:val="24"/>
        </w:rPr>
      </w:pPr>
      <w:bookmarkStart w:id="17" w:name="_Toc492313319"/>
      <w:r>
        <w:rPr>
          <w:rFonts w:ascii="Calibri" w:hAnsi="Calibri" w:cs="Calibri"/>
          <w:b/>
          <w:color w:val="auto"/>
          <w:sz w:val="24"/>
          <w:szCs w:val="24"/>
        </w:rPr>
        <w:t>Valor computable y cálculo de la amortización</w:t>
      </w:r>
      <w:bookmarkEnd w:id="17"/>
    </w:p>
    <w:p w:rsidR="00D529C5"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En cuanto a los bienes exteriorizados </w:t>
      </w:r>
      <w:r>
        <w:rPr>
          <w:rFonts w:hAnsi="Calibri" w:cs="Calibri"/>
          <w:sz w:val="24"/>
          <w:szCs w:val="24"/>
        </w:rPr>
        <w:t>en el marco de la Ley 27.260</w:t>
      </w:r>
      <w:r>
        <w:rPr>
          <w:rStyle w:val="FootnoteReference"/>
          <w:rFonts w:hAnsi="Calibri" w:cs="Calibri"/>
          <w:sz w:val="24"/>
          <w:szCs w:val="24"/>
        </w:rPr>
        <w:footnoteReference w:id="35"/>
      </w:r>
      <w:r>
        <w:rPr>
          <w:rFonts w:hAnsi="Calibri" w:cs="Calibri"/>
          <w:sz w:val="24"/>
          <w:szCs w:val="24"/>
        </w:rPr>
        <w:t xml:space="preserve"> </w:t>
      </w:r>
      <w:r w:rsidRPr="0011267F">
        <w:rPr>
          <w:rFonts w:hAnsi="Calibri" w:cs="Calibri"/>
          <w:sz w:val="24"/>
          <w:szCs w:val="24"/>
        </w:rPr>
        <w:t>debemos recordar que la fecha de incorporación al patrimonio será la de preexistencia de los bienes -31/12/2015 o 22/7/2017</w:t>
      </w:r>
      <w:r w:rsidRPr="0011267F">
        <w:rPr>
          <w:rStyle w:val="FootnoteReference"/>
          <w:rFonts w:hAnsi="Calibri" w:cs="Calibri"/>
          <w:sz w:val="24"/>
          <w:szCs w:val="24"/>
        </w:rPr>
        <w:footnoteReference w:id="36"/>
      </w:r>
      <w:r w:rsidRPr="0011267F">
        <w:rPr>
          <w:rFonts w:hAnsi="Calibri" w:cs="Calibri"/>
          <w:sz w:val="24"/>
          <w:szCs w:val="24"/>
        </w:rPr>
        <w:t>- y que el valor de exteriorización constituirá el valor de incorporación al patrimonio</w:t>
      </w:r>
      <w:r w:rsidRPr="0011267F">
        <w:rPr>
          <w:rStyle w:val="FootnoteReference"/>
          <w:rFonts w:hAnsi="Calibri" w:cs="Calibri"/>
          <w:sz w:val="24"/>
          <w:szCs w:val="24"/>
        </w:rPr>
        <w:footnoteReference w:id="37"/>
      </w:r>
      <w:r w:rsidRPr="0011267F">
        <w:rPr>
          <w:rFonts w:hAnsi="Calibri" w:cs="Calibri"/>
          <w:sz w:val="24"/>
          <w:szCs w:val="24"/>
        </w:rPr>
        <w:t>. Es así como, los bienes comenzarán a amortizarse a partir del trimestre correspondiente a la fecha de alta mencionada</w:t>
      </w:r>
      <w:r w:rsidRPr="0011267F">
        <w:rPr>
          <w:rStyle w:val="FootnoteReference"/>
          <w:rFonts w:hAnsi="Calibri" w:cs="Calibri"/>
          <w:sz w:val="24"/>
          <w:szCs w:val="24"/>
        </w:rPr>
        <w:footnoteReference w:id="38"/>
      </w:r>
      <w:r w:rsidRPr="0011267F">
        <w:rPr>
          <w:rFonts w:hAnsi="Calibri" w:cs="Calibri"/>
          <w:sz w:val="24"/>
          <w:szCs w:val="24"/>
        </w:rPr>
        <w:t>.</w:t>
      </w:r>
    </w:p>
    <w:p w:rsidR="00D529C5" w:rsidRPr="0011267F" w:rsidRDefault="00D529C5" w:rsidP="0011267F">
      <w:pPr>
        <w:spacing w:after="0" w:line="240" w:lineRule="auto"/>
        <w:jc w:val="both"/>
        <w:rPr>
          <w:rFonts w:hAnsi="Calibri" w:cs="Calibri"/>
          <w:b/>
          <w:sz w:val="24"/>
          <w:szCs w:val="24"/>
        </w:rPr>
      </w:pPr>
    </w:p>
    <w:p w:rsidR="00D529C5" w:rsidRPr="0011267F" w:rsidRDefault="00D529C5" w:rsidP="0011267F">
      <w:pPr>
        <w:spacing w:after="0" w:line="240" w:lineRule="auto"/>
        <w:jc w:val="both"/>
        <w:rPr>
          <w:rFonts w:hAnsi="Calibri" w:cs="Calibri"/>
          <w:sz w:val="24"/>
          <w:szCs w:val="24"/>
        </w:rPr>
      </w:pPr>
    </w:p>
    <w:p w:rsidR="00D529C5" w:rsidRPr="00BD3E3B" w:rsidRDefault="00D529C5" w:rsidP="00B609F0">
      <w:pPr>
        <w:pStyle w:val="Heading3"/>
        <w:numPr>
          <w:ilvl w:val="2"/>
          <w:numId w:val="39"/>
        </w:numPr>
        <w:rPr>
          <w:rFonts w:ascii="Calibri" w:hAnsi="Calibri" w:cs="Calibri"/>
          <w:color w:val="000000"/>
          <w:sz w:val="24"/>
          <w:szCs w:val="24"/>
        </w:rPr>
      </w:pPr>
      <w:bookmarkStart w:id="19" w:name="_Toc492313320"/>
      <w:r w:rsidRPr="00BD3E3B">
        <w:rPr>
          <w:rFonts w:ascii="Calibri" w:hAnsi="Calibri" w:cs="Calibri"/>
          <w:color w:val="000000"/>
          <w:sz w:val="24"/>
          <w:szCs w:val="24"/>
        </w:rPr>
        <w:t>Inversiones financieras</w:t>
      </w:r>
      <w:bookmarkEnd w:id="19"/>
    </w:p>
    <w:p w:rsidR="00D529C5" w:rsidRPr="0011267F" w:rsidRDefault="00D529C5" w:rsidP="0011267F">
      <w:pPr>
        <w:pStyle w:val="NormalWeb"/>
        <w:shd w:val="clear" w:color="auto" w:fill="FFFFFF"/>
        <w:spacing w:before="0" w:beforeAutospacing="0" w:after="0" w:afterAutospacing="0"/>
        <w:jc w:val="both"/>
        <w:rPr>
          <w:rStyle w:val="Strong"/>
          <w:rFonts w:ascii="Calibri" w:hAnsi="Calibri" w:cs="Calibri"/>
          <w:color w:val="111111"/>
        </w:rPr>
      </w:pPr>
    </w:p>
    <w:p w:rsidR="00D529C5" w:rsidRPr="0011267F" w:rsidRDefault="00D529C5" w:rsidP="0011267F">
      <w:pPr>
        <w:spacing w:after="0" w:line="240" w:lineRule="auto"/>
        <w:jc w:val="both"/>
        <w:rPr>
          <w:rFonts w:hAnsi="Calibri" w:cs="Calibri"/>
          <w:sz w:val="24"/>
          <w:szCs w:val="24"/>
          <w:lang w:eastAsia="en-US"/>
        </w:rPr>
      </w:pPr>
      <w:r w:rsidRPr="0011267F">
        <w:rPr>
          <w:rFonts w:hAnsi="Calibri" w:cs="Calibri"/>
          <w:sz w:val="24"/>
          <w:szCs w:val="24"/>
          <w:lang w:eastAsia="en-US"/>
        </w:rPr>
        <w:t>A continuación, se expone el tratamiento a acordar por una persona humana residente argentina que invierte en forma directa en distintos instrumentos de inversión</w:t>
      </w:r>
      <w:r>
        <w:rPr>
          <w:rFonts w:hAnsi="Calibri" w:cs="Calibri"/>
          <w:sz w:val="24"/>
          <w:szCs w:val="24"/>
          <w:lang w:eastAsia="en-US"/>
        </w:rPr>
        <w:t xml:space="preserve"> en el exterior</w:t>
      </w:r>
      <w:r w:rsidRPr="0011267F">
        <w:rPr>
          <w:rFonts w:hAnsi="Calibri" w:cs="Calibri"/>
          <w:sz w:val="24"/>
          <w:szCs w:val="24"/>
          <w:lang w:eastAsia="en-US"/>
        </w:rPr>
        <w:t xml:space="preserve">: </w:t>
      </w:r>
    </w:p>
    <w:p w:rsidR="00D529C5" w:rsidRPr="0011267F" w:rsidRDefault="00D529C5" w:rsidP="00B17C0E">
      <w:pPr>
        <w:spacing w:after="0" w:line="240" w:lineRule="auto"/>
        <w:jc w:val="both"/>
        <w:rPr>
          <w:rFonts w:hAnsi="Calibri" w:cs="Calibri"/>
          <w:sz w:val="24"/>
          <w:szCs w:val="24"/>
          <w:lang w:eastAsia="en-US"/>
        </w:rPr>
      </w:pP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40"/>
        <w:gridCol w:w="1713"/>
        <w:gridCol w:w="1843"/>
      </w:tblGrid>
      <w:tr w:rsidR="00D529C5" w:rsidRPr="007B76CE" w:rsidTr="007B76CE">
        <w:tc>
          <w:tcPr>
            <w:tcW w:w="4240" w:type="dxa"/>
            <w:shd w:val="clear" w:color="auto" w:fill="104876"/>
            <w:vAlign w:val="center"/>
          </w:tcPr>
          <w:p w:rsidR="00D529C5" w:rsidRPr="007B76CE" w:rsidRDefault="00D529C5" w:rsidP="007B76CE">
            <w:pPr>
              <w:spacing w:after="0" w:line="240" w:lineRule="auto"/>
              <w:jc w:val="both"/>
              <w:rPr>
                <w:rFonts w:hAnsi="Calibri" w:cs="Calibri"/>
                <w:b/>
                <w:color w:val="FFFFFF"/>
                <w:sz w:val="18"/>
                <w:szCs w:val="18"/>
                <w:lang w:eastAsia="en-US"/>
              </w:rPr>
            </w:pPr>
            <w:r w:rsidRPr="007B76CE">
              <w:rPr>
                <w:rFonts w:hAnsi="Calibri" w:cs="Calibri"/>
                <w:b/>
                <w:color w:val="FFFFFF"/>
                <w:sz w:val="18"/>
                <w:szCs w:val="18"/>
                <w:lang w:eastAsia="en-US"/>
              </w:rPr>
              <w:t>INVERSIONES EN EL EXTERIOR</w:t>
            </w:r>
          </w:p>
        </w:tc>
        <w:tc>
          <w:tcPr>
            <w:tcW w:w="3556" w:type="dxa"/>
            <w:gridSpan w:val="2"/>
            <w:shd w:val="clear" w:color="auto" w:fill="104876"/>
            <w:vAlign w:val="center"/>
          </w:tcPr>
          <w:p w:rsidR="00D529C5" w:rsidRPr="007B76CE" w:rsidRDefault="00D529C5" w:rsidP="007B76CE">
            <w:pPr>
              <w:spacing w:after="0" w:line="240" w:lineRule="auto"/>
              <w:jc w:val="center"/>
              <w:rPr>
                <w:rFonts w:hAnsi="Calibri" w:cs="Calibri"/>
                <w:b/>
                <w:color w:val="FFFFFF"/>
                <w:sz w:val="18"/>
                <w:szCs w:val="18"/>
                <w:lang w:eastAsia="en-US"/>
              </w:rPr>
            </w:pPr>
            <w:r w:rsidRPr="007B76CE">
              <w:rPr>
                <w:rFonts w:hAnsi="Calibri" w:cs="Calibri"/>
                <w:b/>
                <w:color w:val="FFFFFF"/>
                <w:sz w:val="18"/>
                <w:szCs w:val="18"/>
                <w:lang w:eastAsia="en-US"/>
              </w:rPr>
              <w:t>TRATAMIENTO EN EL IMPUESTO A LAS GANANCIAS</w:t>
            </w:r>
          </w:p>
        </w:tc>
      </w:tr>
      <w:tr w:rsidR="00D529C5" w:rsidRPr="007B76CE" w:rsidTr="007B76CE">
        <w:tc>
          <w:tcPr>
            <w:tcW w:w="4240" w:type="dxa"/>
            <w:shd w:val="clear" w:color="auto" w:fill="BAD6F0"/>
          </w:tcPr>
          <w:p w:rsidR="00D529C5" w:rsidRPr="007B76CE" w:rsidRDefault="00D529C5" w:rsidP="007B76CE">
            <w:pPr>
              <w:spacing w:after="0" w:line="240" w:lineRule="auto"/>
              <w:jc w:val="both"/>
              <w:rPr>
                <w:rFonts w:hAnsi="Calibri" w:cs="Calibri"/>
                <w:sz w:val="18"/>
                <w:szCs w:val="18"/>
                <w:lang w:eastAsia="en-US"/>
              </w:rPr>
            </w:pPr>
          </w:p>
        </w:tc>
        <w:tc>
          <w:tcPr>
            <w:tcW w:w="1713" w:type="dxa"/>
            <w:shd w:val="clear" w:color="auto" w:fill="BAD6F0"/>
            <w:vAlign w:val="center"/>
          </w:tcPr>
          <w:p w:rsidR="00D529C5" w:rsidRPr="007B76CE" w:rsidRDefault="00D529C5" w:rsidP="007B76CE">
            <w:pPr>
              <w:spacing w:after="0" w:line="240" w:lineRule="auto"/>
              <w:jc w:val="center"/>
              <w:rPr>
                <w:rFonts w:hAnsi="Calibri" w:cs="Calibri"/>
                <w:b/>
                <w:sz w:val="18"/>
                <w:szCs w:val="18"/>
                <w:lang w:eastAsia="en-US"/>
              </w:rPr>
            </w:pPr>
            <w:r w:rsidRPr="007B76CE">
              <w:rPr>
                <w:rFonts w:hAnsi="Calibri" w:cs="Calibri"/>
                <w:b/>
                <w:sz w:val="18"/>
                <w:szCs w:val="18"/>
                <w:lang w:eastAsia="en-US"/>
              </w:rPr>
              <w:t>15%</w:t>
            </w:r>
          </w:p>
        </w:tc>
        <w:tc>
          <w:tcPr>
            <w:tcW w:w="1843" w:type="dxa"/>
            <w:shd w:val="clear" w:color="auto" w:fill="BAD6F0"/>
            <w:vAlign w:val="center"/>
          </w:tcPr>
          <w:p w:rsidR="00D529C5" w:rsidRPr="007B76CE" w:rsidRDefault="00D529C5" w:rsidP="007B76CE">
            <w:pPr>
              <w:spacing w:after="0" w:line="240" w:lineRule="auto"/>
              <w:jc w:val="center"/>
              <w:rPr>
                <w:rFonts w:hAnsi="Calibri" w:cs="Calibri"/>
                <w:b/>
                <w:sz w:val="18"/>
                <w:szCs w:val="18"/>
                <w:lang w:eastAsia="en-US"/>
              </w:rPr>
            </w:pPr>
            <w:r w:rsidRPr="007B76CE">
              <w:rPr>
                <w:rFonts w:hAnsi="Calibri" w:cs="Calibri"/>
                <w:b/>
                <w:sz w:val="18"/>
                <w:szCs w:val="18"/>
                <w:lang w:eastAsia="en-US"/>
              </w:rPr>
              <w:t>RÉGIMEN GENERAL</w:t>
            </w:r>
          </w:p>
        </w:tc>
      </w:tr>
      <w:tr w:rsidR="00D529C5" w:rsidRPr="007B76CE" w:rsidTr="007B76CE">
        <w:tc>
          <w:tcPr>
            <w:tcW w:w="4240" w:type="dxa"/>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TÍTULOS PÚBLICOS - NO ARGENTINOS</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COMPRAVENTA</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INTERESES</w:t>
            </w:r>
          </w:p>
        </w:tc>
      </w:tr>
      <w:tr w:rsidR="00D529C5" w:rsidRPr="007B76CE" w:rsidTr="007B76CE">
        <w:tc>
          <w:tcPr>
            <w:tcW w:w="4240" w:type="dxa"/>
            <w:vAlign w:val="center"/>
          </w:tcPr>
          <w:p w:rsidR="00D529C5" w:rsidRPr="007B76CE" w:rsidRDefault="00D529C5" w:rsidP="007B76CE">
            <w:pPr>
              <w:spacing w:after="0" w:line="240" w:lineRule="auto"/>
              <w:rPr>
                <w:rFonts w:hAnsi="Calibri" w:cs="Calibri"/>
                <w:sz w:val="18"/>
                <w:szCs w:val="18"/>
                <w:lang w:eastAsia="en-US"/>
              </w:rPr>
            </w:pPr>
            <w:bookmarkStart w:id="20" w:name="_Hlk491208706"/>
            <w:r w:rsidRPr="007B76CE">
              <w:rPr>
                <w:rFonts w:hAnsi="Calibri" w:cs="Calibri"/>
                <w:sz w:val="18"/>
                <w:szCs w:val="18"/>
                <w:lang w:eastAsia="en-US"/>
              </w:rPr>
              <w:t>BONOS SOBERANOS Y ACCIONES DE EMPRESAS DE BOLIVIA</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EXENTO</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EXENTO</w:t>
            </w:r>
          </w:p>
        </w:tc>
      </w:tr>
      <w:bookmarkEnd w:id="20"/>
      <w:tr w:rsidR="00D529C5" w:rsidRPr="007B76CE" w:rsidTr="007B76CE">
        <w:tc>
          <w:tcPr>
            <w:tcW w:w="4240" w:type="dxa"/>
            <w:vAlign w:val="center"/>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OBLIGACIONES NEGOCIABLES DE BOLIVIA</w:t>
            </w:r>
          </w:p>
        </w:tc>
        <w:tc>
          <w:tcPr>
            <w:tcW w:w="1713" w:type="dxa"/>
          </w:tcPr>
          <w:p w:rsidR="00D529C5" w:rsidRPr="007B76CE" w:rsidRDefault="00D529C5" w:rsidP="007B76CE">
            <w:pPr>
              <w:spacing w:after="0" w:line="240" w:lineRule="auto"/>
              <w:jc w:val="center"/>
              <w:rPr>
                <w:rFonts w:hAnsi="Calibri" w:cs="Calibri"/>
                <w:lang w:eastAsia="en-US"/>
              </w:rPr>
            </w:pPr>
            <w:r w:rsidRPr="007B76CE">
              <w:rPr>
                <w:rFonts w:hAnsi="Calibri" w:cs="Calibri"/>
                <w:sz w:val="18"/>
                <w:szCs w:val="18"/>
                <w:lang w:eastAsia="en-US"/>
              </w:rPr>
              <w:t>EXENTO</w:t>
            </w:r>
          </w:p>
        </w:tc>
        <w:tc>
          <w:tcPr>
            <w:tcW w:w="1843" w:type="dxa"/>
          </w:tcPr>
          <w:p w:rsidR="00D529C5" w:rsidRPr="007B76CE" w:rsidRDefault="00D529C5" w:rsidP="007B76CE">
            <w:pPr>
              <w:spacing w:after="0" w:line="240" w:lineRule="auto"/>
              <w:jc w:val="center"/>
              <w:rPr>
                <w:rFonts w:hAnsi="Calibri" w:cs="Calibri"/>
                <w:lang w:eastAsia="en-US"/>
              </w:rPr>
            </w:pPr>
            <w:r w:rsidRPr="007B76CE">
              <w:rPr>
                <w:rFonts w:hAnsi="Calibri" w:cs="Calibri"/>
                <w:sz w:val="18"/>
                <w:szCs w:val="18"/>
                <w:lang w:eastAsia="en-US"/>
              </w:rPr>
              <w:t>EXENTO</w:t>
            </w:r>
          </w:p>
        </w:tc>
      </w:tr>
      <w:tr w:rsidR="00D529C5" w:rsidRPr="007B76CE" w:rsidTr="007B76CE">
        <w:tc>
          <w:tcPr>
            <w:tcW w:w="4240" w:type="dxa"/>
            <w:vAlign w:val="center"/>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BONOS SOBERANOS DE BRASIL</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EXENTO</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EXENTO</w:t>
            </w:r>
          </w:p>
        </w:tc>
      </w:tr>
      <w:tr w:rsidR="00D529C5" w:rsidRPr="007B76CE" w:rsidTr="007B76CE">
        <w:tc>
          <w:tcPr>
            <w:tcW w:w="4240" w:type="dxa"/>
            <w:vAlign w:val="center"/>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ACCIONES Y PARTICIPACIONES SOCIETARIAS BRASIL</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EXENTO</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EXENTO</w:t>
            </w:r>
          </w:p>
        </w:tc>
      </w:tr>
      <w:tr w:rsidR="00D529C5" w:rsidRPr="007B76CE" w:rsidTr="007B76CE">
        <w:tc>
          <w:tcPr>
            <w:tcW w:w="4240" w:type="dxa"/>
            <w:vAlign w:val="center"/>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ACCIONES ORDINARIAS Y PREFERIDAS DEL EXTERIOR CON Y SIN COTIZACIÓN</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COMPRAVENTA</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DIVIDENDOS</w:t>
            </w:r>
          </w:p>
        </w:tc>
      </w:tr>
      <w:tr w:rsidR="00D529C5" w:rsidRPr="007B76CE" w:rsidTr="007B76CE">
        <w:tc>
          <w:tcPr>
            <w:tcW w:w="4240" w:type="dxa"/>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FONDOS COMUNES DE INVERSIÓN</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COMPRAVENTA</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INTERESES</w:t>
            </w:r>
          </w:p>
        </w:tc>
      </w:tr>
      <w:tr w:rsidR="00D529C5" w:rsidRPr="007B76CE" w:rsidTr="007B76CE">
        <w:tc>
          <w:tcPr>
            <w:tcW w:w="4240" w:type="dxa"/>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CUENTAS CORRIENTES Y CAJA DE AHORRO</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NO APLICA</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INTERESES</w:t>
            </w:r>
          </w:p>
        </w:tc>
      </w:tr>
      <w:tr w:rsidR="00D529C5" w:rsidRPr="007B76CE" w:rsidTr="007B76CE">
        <w:tc>
          <w:tcPr>
            <w:tcW w:w="4240" w:type="dxa"/>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PLAZOS FIJOS</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NO APLICA</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INTERESES</w:t>
            </w:r>
          </w:p>
        </w:tc>
      </w:tr>
      <w:tr w:rsidR="00D529C5" w:rsidRPr="007B76CE" w:rsidTr="007B76CE">
        <w:tc>
          <w:tcPr>
            <w:tcW w:w="4240" w:type="dxa"/>
          </w:tcPr>
          <w:p w:rsidR="00D529C5" w:rsidRPr="007B76CE" w:rsidRDefault="00D529C5" w:rsidP="007B76CE">
            <w:pPr>
              <w:spacing w:after="0" w:line="240" w:lineRule="auto"/>
              <w:rPr>
                <w:rFonts w:hAnsi="Calibri" w:cs="Calibri"/>
                <w:sz w:val="18"/>
                <w:szCs w:val="18"/>
                <w:lang w:eastAsia="en-US"/>
              </w:rPr>
            </w:pPr>
            <w:r w:rsidRPr="007B76CE">
              <w:rPr>
                <w:rFonts w:hAnsi="Calibri" w:cs="Calibri"/>
                <w:sz w:val="18"/>
                <w:szCs w:val="18"/>
                <w:lang w:eastAsia="en-US"/>
              </w:rPr>
              <w:t>ADRS</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COMPRAVENTA</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p>
        </w:tc>
      </w:tr>
      <w:tr w:rsidR="00D529C5" w:rsidRPr="007B76CE" w:rsidTr="007B76CE">
        <w:tc>
          <w:tcPr>
            <w:tcW w:w="4240" w:type="dxa"/>
            <w:vAlign w:val="center"/>
          </w:tcPr>
          <w:p w:rsidR="00D529C5" w:rsidRPr="007B76CE" w:rsidRDefault="00D529C5" w:rsidP="007B76CE">
            <w:pPr>
              <w:spacing w:after="0" w:line="240" w:lineRule="auto"/>
              <w:jc w:val="both"/>
              <w:rPr>
                <w:rFonts w:hAnsi="Calibri" w:cs="Calibri"/>
                <w:sz w:val="18"/>
                <w:szCs w:val="18"/>
                <w:lang w:eastAsia="en-US"/>
              </w:rPr>
            </w:pPr>
            <w:r w:rsidRPr="007B76CE">
              <w:rPr>
                <w:rFonts w:hAnsi="Calibri" w:cs="Calibri"/>
                <w:sz w:val="18"/>
                <w:szCs w:val="18"/>
                <w:lang w:eastAsia="en-US"/>
              </w:rPr>
              <w:t>OBLIGACIONES NEGOCIABLES CON O SIN OFERTA PÚBLICA</w:t>
            </w:r>
          </w:p>
        </w:tc>
        <w:tc>
          <w:tcPr>
            <w:tcW w:w="171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COMPRAVENTA</w:t>
            </w:r>
          </w:p>
        </w:tc>
        <w:tc>
          <w:tcPr>
            <w:tcW w:w="1843" w:type="dxa"/>
            <w:vAlign w:val="center"/>
          </w:tcPr>
          <w:p w:rsidR="00D529C5" w:rsidRPr="007B76CE" w:rsidRDefault="00D529C5" w:rsidP="007B76CE">
            <w:pPr>
              <w:spacing w:after="0" w:line="240" w:lineRule="auto"/>
              <w:jc w:val="center"/>
              <w:rPr>
                <w:rFonts w:hAnsi="Calibri" w:cs="Calibri"/>
                <w:sz w:val="18"/>
                <w:szCs w:val="18"/>
                <w:lang w:eastAsia="en-US"/>
              </w:rPr>
            </w:pPr>
            <w:r w:rsidRPr="007B76CE">
              <w:rPr>
                <w:rFonts w:hAnsi="Calibri" w:cs="Calibri"/>
                <w:sz w:val="18"/>
                <w:szCs w:val="18"/>
                <w:lang w:eastAsia="en-US"/>
              </w:rPr>
              <w:t>INTERESES</w:t>
            </w:r>
          </w:p>
        </w:tc>
      </w:tr>
    </w:tbl>
    <w:p w:rsidR="00D529C5" w:rsidRPr="0011267F" w:rsidRDefault="00D529C5" w:rsidP="0011267F">
      <w:pPr>
        <w:spacing w:after="0" w:line="240" w:lineRule="auto"/>
        <w:jc w:val="both"/>
        <w:rPr>
          <w:rFonts w:hAnsi="Calibri" w:cs="Calibri"/>
          <w:b/>
          <w:sz w:val="24"/>
          <w:szCs w:val="24"/>
        </w:rPr>
      </w:pPr>
    </w:p>
    <w:p w:rsidR="00D529C5" w:rsidRPr="00317387" w:rsidRDefault="00D529C5" w:rsidP="00B609F0">
      <w:pPr>
        <w:pStyle w:val="Heading4"/>
        <w:numPr>
          <w:ilvl w:val="0"/>
          <w:numId w:val="42"/>
        </w:numPr>
        <w:rPr>
          <w:rFonts w:ascii="Calibri" w:hAnsi="Calibri" w:cs="Calibri"/>
          <w:i w:val="0"/>
          <w:color w:val="auto"/>
          <w:sz w:val="24"/>
          <w:szCs w:val="24"/>
        </w:rPr>
      </w:pPr>
      <w:bookmarkStart w:id="21" w:name="_Toc492313321"/>
      <w:r w:rsidRPr="00317387">
        <w:rPr>
          <w:rFonts w:ascii="Calibri" w:hAnsi="Calibri" w:cs="Calibri"/>
          <w:i w:val="0"/>
          <w:color w:val="auto"/>
          <w:sz w:val="24"/>
          <w:szCs w:val="24"/>
        </w:rPr>
        <w:t>Otras cuestiones sobre el tratamiento fiscal de este tipo de inversiones financieras</w:t>
      </w:r>
      <w:bookmarkEnd w:id="21"/>
    </w:p>
    <w:p w:rsidR="00D529C5" w:rsidRPr="00317387" w:rsidRDefault="00D529C5" w:rsidP="00B609F0">
      <w:pPr>
        <w:pStyle w:val="Heading5"/>
        <w:numPr>
          <w:ilvl w:val="0"/>
          <w:numId w:val="43"/>
        </w:numPr>
        <w:rPr>
          <w:rFonts w:ascii="Calibri" w:hAnsi="Calibri" w:cs="Calibri"/>
          <w:b/>
          <w:color w:val="auto"/>
          <w:sz w:val="24"/>
          <w:szCs w:val="24"/>
        </w:rPr>
      </w:pPr>
      <w:bookmarkStart w:id="22" w:name="_Toc492313322"/>
      <w:r w:rsidRPr="00317387">
        <w:rPr>
          <w:rFonts w:ascii="Calibri" w:hAnsi="Calibri" w:cs="Calibri"/>
          <w:b/>
          <w:color w:val="auto"/>
          <w:sz w:val="24"/>
          <w:szCs w:val="24"/>
        </w:rPr>
        <w:t>Títulos públicos y Obligaciones Negociables colocadas por oferta pública en nuestro país</w:t>
      </w:r>
      <w:bookmarkEnd w:id="22"/>
    </w:p>
    <w:p w:rsidR="00D529C5" w:rsidRPr="0011267F" w:rsidRDefault="00D529C5" w:rsidP="00FA4896">
      <w:pPr>
        <w:spacing w:after="0" w:line="240" w:lineRule="auto"/>
        <w:jc w:val="both"/>
        <w:outlineLvl w:val="5"/>
        <w:rPr>
          <w:rFonts w:hAnsi="Calibri" w:cs="Calibri"/>
          <w:b/>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 xml:space="preserve">Las rentas percibidas por </w:t>
      </w:r>
      <w:r>
        <w:rPr>
          <w:rFonts w:hAnsi="Calibri" w:cs="Calibri"/>
          <w:sz w:val="24"/>
          <w:szCs w:val="24"/>
        </w:rPr>
        <w:t>Tít</w:t>
      </w:r>
      <w:r w:rsidRPr="0011267F">
        <w:rPr>
          <w:rFonts w:hAnsi="Calibri" w:cs="Calibri"/>
          <w:sz w:val="24"/>
          <w:szCs w:val="24"/>
        </w:rPr>
        <w:t xml:space="preserve">ulos </w:t>
      </w:r>
      <w:r>
        <w:rPr>
          <w:rFonts w:hAnsi="Calibri" w:cs="Calibri"/>
          <w:sz w:val="24"/>
          <w:szCs w:val="24"/>
        </w:rPr>
        <w:t>P</w:t>
      </w:r>
      <w:r w:rsidRPr="0011267F">
        <w:rPr>
          <w:rFonts w:hAnsi="Calibri" w:cs="Calibri"/>
          <w:sz w:val="24"/>
          <w:szCs w:val="24"/>
        </w:rPr>
        <w:t xml:space="preserve">úblicos de nuestro país y </w:t>
      </w:r>
      <w:r>
        <w:rPr>
          <w:rFonts w:hAnsi="Calibri" w:cs="Calibri"/>
          <w:sz w:val="24"/>
          <w:szCs w:val="24"/>
        </w:rPr>
        <w:t>Obligaciones N</w:t>
      </w:r>
      <w:r w:rsidRPr="0011267F">
        <w:rPr>
          <w:rFonts w:hAnsi="Calibri" w:cs="Calibri"/>
          <w:sz w:val="24"/>
          <w:szCs w:val="24"/>
        </w:rPr>
        <w:t>egociables argentinas colocadas por oferta pública en Argentina en una cuenta financiera del exterior de una persona humana se encuentran exentas en el impuesto a las ganancias</w:t>
      </w:r>
      <w:r w:rsidRPr="0011267F">
        <w:rPr>
          <w:rStyle w:val="FootnoteReference"/>
          <w:rFonts w:hAnsi="Calibri" w:cs="Calibri"/>
          <w:sz w:val="24"/>
          <w:szCs w:val="24"/>
        </w:rPr>
        <w:footnoteReference w:id="39"/>
      </w:r>
      <w:r w:rsidRPr="0011267F">
        <w:rPr>
          <w:rFonts w:hAnsi="Calibri" w:cs="Calibri"/>
          <w:sz w:val="24"/>
          <w:szCs w:val="24"/>
        </w:rPr>
        <w:t>.</w:t>
      </w:r>
    </w:p>
    <w:p w:rsidR="00D529C5" w:rsidRPr="00FA4896" w:rsidRDefault="00D529C5" w:rsidP="0011267F">
      <w:pPr>
        <w:spacing w:after="0" w:line="240" w:lineRule="auto"/>
        <w:jc w:val="both"/>
        <w:rPr>
          <w:rFonts w:hAnsi="Calibri" w:cs="Calibri"/>
          <w:b/>
          <w:sz w:val="24"/>
          <w:szCs w:val="24"/>
        </w:rPr>
      </w:pPr>
    </w:p>
    <w:p w:rsidR="00D529C5" w:rsidRPr="00317387" w:rsidRDefault="00D529C5" w:rsidP="00B609F0">
      <w:pPr>
        <w:pStyle w:val="Heading5"/>
        <w:numPr>
          <w:ilvl w:val="0"/>
          <w:numId w:val="43"/>
        </w:numPr>
        <w:rPr>
          <w:rFonts w:ascii="Calibri" w:hAnsi="Calibri" w:cs="Calibri"/>
          <w:b/>
          <w:color w:val="auto"/>
          <w:sz w:val="24"/>
          <w:szCs w:val="24"/>
        </w:rPr>
      </w:pPr>
      <w:bookmarkStart w:id="23" w:name="_Toc491335382"/>
      <w:bookmarkStart w:id="24" w:name="_Toc492313323"/>
      <w:r>
        <w:rPr>
          <w:rFonts w:ascii="Calibri" w:hAnsi="Calibri" w:cs="Calibri"/>
          <w:b/>
          <w:color w:val="auto"/>
          <w:sz w:val="24"/>
          <w:szCs w:val="24"/>
        </w:rPr>
        <w:t>Resultado impositivo por participación en una</w:t>
      </w:r>
      <w:r w:rsidRPr="00317387">
        <w:rPr>
          <w:rFonts w:ascii="Calibri" w:hAnsi="Calibri" w:cs="Calibri"/>
          <w:b/>
          <w:color w:val="auto"/>
          <w:sz w:val="24"/>
          <w:szCs w:val="24"/>
        </w:rPr>
        <w:t xml:space="preserve"> SRL de Brasil</w:t>
      </w:r>
      <w:bookmarkEnd w:id="23"/>
      <w:bookmarkEnd w:id="24"/>
      <w:r w:rsidRPr="00317387">
        <w:rPr>
          <w:rFonts w:ascii="Calibri" w:hAnsi="Calibri" w:cs="Calibri"/>
          <w:b/>
          <w:color w:val="auto"/>
          <w:sz w:val="24"/>
          <w:szCs w:val="24"/>
        </w:rPr>
        <w:t xml:space="preserve"> </w:t>
      </w:r>
    </w:p>
    <w:p w:rsidR="00D529C5" w:rsidRPr="0011267F"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 xml:space="preserve">Se </w:t>
      </w:r>
      <w:r>
        <w:rPr>
          <w:rFonts w:hAnsi="Calibri" w:cs="Calibri"/>
          <w:sz w:val="24"/>
          <w:szCs w:val="24"/>
        </w:rPr>
        <w:t>consultó sobre si un</w:t>
      </w:r>
      <w:r w:rsidRPr="0011267F">
        <w:rPr>
          <w:rFonts w:hAnsi="Calibri" w:cs="Calibri"/>
          <w:sz w:val="24"/>
          <w:szCs w:val="24"/>
        </w:rPr>
        <w:t xml:space="preserve"> residente en la República Argentina,</w:t>
      </w:r>
      <w:r>
        <w:rPr>
          <w:rFonts w:hAnsi="Calibri" w:cs="Calibri"/>
          <w:sz w:val="24"/>
          <w:szCs w:val="24"/>
        </w:rPr>
        <w:t xml:space="preserve"> titular</w:t>
      </w:r>
      <w:r w:rsidRPr="0011267F">
        <w:rPr>
          <w:rFonts w:hAnsi="Calibri" w:cs="Calibri"/>
          <w:sz w:val="24"/>
          <w:szCs w:val="24"/>
        </w:rPr>
        <w:t xml:space="preserve"> de cuotas sociales de sociedad de responsabilidad limitada de Brasil</w:t>
      </w:r>
      <w:r>
        <w:rPr>
          <w:rFonts w:hAnsi="Calibri" w:cs="Calibri"/>
          <w:sz w:val="24"/>
          <w:szCs w:val="24"/>
        </w:rPr>
        <w:t xml:space="preserve"> (SRL)</w:t>
      </w:r>
      <w:r w:rsidRPr="0011267F">
        <w:rPr>
          <w:rFonts w:hAnsi="Calibri" w:cs="Calibri"/>
          <w:sz w:val="24"/>
          <w:szCs w:val="24"/>
        </w:rPr>
        <w:t xml:space="preserve">, </w:t>
      </w:r>
      <w:r>
        <w:rPr>
          <w:rFonts w:hAnsi="Calibri" w:cs="Calibri"/>
          <w:sz w:val="24"/>
          <w:szCs w:val="24"/>
        </w:rPr>
        <w:t>debía</w:t>
      </w:r>
      <w:r w:rsidRPr="0011267F">
        <w:rPr>
          <w:rFonts w:hAnsi="Calibri" w:cs="Calibri"/>
          <w:sz w:val="24"/>
          <w:szCs w:val="24"/>
        </w:rPr>
        <w:t xml:space="preserve"> gravar el resultado impositivo, que determine la sociedad en la que participa,</w:t>
      </w:r>
      <w:r w:rsidRPr="003D4480">
        <w:rPr>
          <w:rFonts w:hAnsi="Calibri" w:cs="Calibri"/>
          <w:sz w:val="24"/>
          <w:szCs w:val="24"/>
        </w:rPr>
        <w:t xml:space="preserve"> </w:t>
      </w:r>
      <w:r w:rsidRPr="0011267F">
        <w:rPr>
          <w:rFonts w:hAnsi="Calibri" w:cs="Calibri"/>
          <w:sz w:val="24"/>
          <w:szCs w:val="24"/>
        </w:rPr>
        <w:t>en la proporción que le corresponda</w:t>
      </w:r>
      <w:r>
        <w:rPr>
          <w:rFonts w:hAnsi="Calibri" w:cs="Calibri"/>
          <w:sz w:val="24"/>
          <w:szCs w:val="24"/>
        </w:rPr>
        <w:t xml:space="preserve">. </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Pr>
          <w:rFonts w:hAnsi="Calibri" w:cs="Calibri"/>
          <w:sz w:val="24"/>
          <w:szCs w:val="24"/>
        </w:rPr>
        <w:t>El consultante sostuvo que, n</w:t>
      </w:r>
      <w:r w:rsidRPr="0011267F">
        <w:rPr>
          <w:rFonts w:hAnsi="Calibri" w:cs="Calibri"/>
          <w:sz w:val="24"/>
          <w:szCs w:val="24"/>
        </w:rPr>
        <w:t>o se encontra</w:t>
      </w:r>
      <w:r>
        <w:rPr>
          <w:rFonts w:hAnsi="Calibri" w:cs="Calibri"/>
          <w:sz w:val="24"/>
          <w:szCs w:val="24"/>
        </w:rPr>
        <w:t>ban</w:t>
      </w:r>
      <w:r w:rsidRPr="0011267F">
        <w:rPr>
          <w:rFonts w:hAnsi="Calibri" w:cs="Calibri"/>
          <w:sz w:val="24"/>
          <w:szCs w:val="24"/>
        </w:rPr>
        <w:t xml:space="preserve"> sometida</w:t>
      </w:r>
      <w:r>
        <w:rPr>
          <w:rFonts w:hAnsi="Calibri" w:cs="Calibri"/>
          <w:sz w:val="24"/>
          <w:szCs w:val="24"/>
        </w:rPr>
        <w:t>s</w:t>
      </w:r>
      <w:r w:rsidRPr="0011267F">
        <w:rPr>
          <w:rFonts w:hAnsi="Calibri" w:cs="Calibri"/>
          <w:sz w:val="24"/>
          <w:szCs w:val="24"/>
        </w:rPr>
        <w:t xml:space="preserve"> a imposición</w:t>
      </w:r>
      <w:r w:rsidRPr="003D4480">
        <w:rPr>
          <w:rFonts w:hAnsi="Calibri" w:cs="Calibri"/>
          <w:sz w:val="24"/>
          <w:szCs w:val="24"/>
        </w:rPr>
        <w:t xml:space="preserve"> </w:t>
      </w:r>
      <w:r w:rsidRPr="0011267F">
        <w:rPr>
          <w:rFonts w:hAnsi="Calibri" w:cs="Calibri"/>
          <w:sz w:val="24"/>
          <w:szCs w:val="24"/>
        </w:rPr>
        <w:t xml:space="preserve">en nuestro país,  </w:t>
      </w:r>
      <w:r>
        <w:rPr>
          <w:rFonts w:hAnsi="Calibri" w:cs="Calibri"/>
          <w:sz w:val="24"/>
          <w:szCs w:val="24"/>
        </w:rPr>
        <w:t>las rentas que obtiene</w:t>
      </w:r>
      <w:r w:rsidRPr="0011267F">
        <w:rPr>
          <w:rFonts w:hAnsi="Calibri" w:cs="Calibri"/>
          <w:sz w:val="24"/>
          <w:szCs w:val="24"/>
        </w:rPr>
        <w:t xml:space="preserve"> un residente argentino por su participación en una sociedad de responsabilidad limitada de Brasil, en la medida </w:t>
      </w:r>
      <w:r>
        <w:rPr>
          <w:rFonts w:hAnsi="Calibri" w:cs="Calibri"/>
          <w:sz w:val="24"/>
          <w:szCs w:val="24"/>
        </w:rPr>
        <w:t xml:space="preserve">en la </w:t>
      </w:r>
      <w:r w:rsidRPr="0011267F">
        <w:rPr>
          <w:rFonts w:hAnsi="Calibri" w:cs="Calibri"/>
          <w:sz w:val="24"/>
          <w:szCs w:val="24"/>
        </w:rPr>
        <w:t>que</w:t>
      </w:r>
      <w:r>
        <w:rPr>
          <w:rFonts w:hAnsi="Calibri" w:cs="Calibri"/>
          <w:sz w:val="24"/>
          <w:szCs w:val="24"/>
        </w:rPr>
        <w:t>,</w:t>
      </w:r>
      <w:r w:rsidRPr="0011267F">
        <w:rPr>
          <w:rFonts w:hAnsi="Calibri" w:cs="Calibri"/>
          <w:sz w:val="24"/>
          <w:szCs w:val="24"/>
        </w:rPr>
        <w:t xml:space="preserve"> se cumpl</w:t>
      </w:r>
      <w:r>
        <w:rPr>
          <w:rFonts w:hAnsi="Calibri" w:cs="Calibri"/>
          <w:sz w:val="24"/>
          <w:szCs w:val="24"/>
        </w:rPr>
        <w:t>iere</w:t>
      </w:r>
      <w:r w:rsidRPr="0011267F">
        <w:rPr>
          <w:rFonts w:hAnsi="Calibri" w:cs="Calibri"/>
          <w:sz w:val="24"/>
          <w:szCs w:val="24"/>
        </w:rPr>
        <w:t xml:space="preserve"> con las demás condiciones del Convenio</w:t>
      </w:r>
      <w:r w:rsidRPr="0011267F">
        <w:rPr>
          <w:rStyle w:val="FootnoteReference"/>
          <w:rFonts w:hAnsi="Calibri" w:cs="Calibri"/>
          <w:i/>
          <w:sz w:val="24"/>
          <w:szCs w:val="24"/>
        </w:rPr>
        <w:footnoteReference w:id="40"/>
      </w:r>
      <w:r w:rsidRPr="0011267F">
        <w:rPr>
          <w:rStyle w:val="FootnoteReference"/>
          <w:rFonts w:hAnsi="Calibri" w:cs="Calibri"/>
          <w:sz w:val="24"/>
          <w:szCs w:val="24"/>
        </w:rPr>
        <w:footnoteReference w:id="41"/>
      </w:r>
      <w:r w:rsidRPr="0011267F">
        <w:rPr>
          <w:rFonts w:hAnsi="Calibri" w:cs="Calibri"/>
          <w:sz w:val="24"/>
          <w:szCs w:val="24"/>
        </w:rPr>
        <w:t>. Si bien el Convenio aplicable habilita la imposición en el Estado del perceptor de los dividendos</w:t>
      </w:r>
      <w:r w:rsidRPr="0011267F">
        <w:rPr>
          <w:rStyle w:val="FootnoteReference"/>
          <w:rFonts w:hAnsi="Calibri" w:cs="Calibri"/>
          <w:sz w:val="24"/>
          <w:szCs w:val="24"/>
        </w:rPr>
        <w:footnoteReference w:id="42"/>
      </w:r>
      <w:r w:rsidRPr="0011267F">
        <w:rPr>
          <w:rFonts w:hAnsi="Calibri" w:cs="Calibri"/>
          <w:sz w:val="24"/>
          <w:szCs w:val="24"/>
        </w:rPr>
        <w:t>, tales rentas también pueden ser gravadas por el Estado de residencia de la empresa que pague los dividendos y de acuerdo con la legislación vigente en dicha jurisdicción</w:t>
      </w:r>
      <w:r w:rsidRPr="0011267F">
        <w:rPr>
          <w:rStyle w:val="FootnoteReference"/>
          <w:rFonts w:hAnsi="Calibri" w:cs="Calibri"/>
          <w:sz w:val="24"/>
          <w:szCs w:val="24"/>
        </w:rPr>
        <w:footnoteReference w:id="43"/>
      </w:r>
      <w:r w:rsidRPr="0011267F">
        <w:rPr>
          <w:rFonts w:hAnsi="Calibri" w:cs="Calibri"/>
          <w:sz w:val="24"/>
          <w:szCs w:val="24"/>
        </w:rPr>
        <w:t>.</w:t>
      </w:r>
    </w:p>
    <w:p w:rsidR="00D529C5"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Pr>
          <w:rFonts w:hAnsi="Calibri" w:cs="Calibri"/>
          <w:sz w:val="24"/>
          <w:szCs w:val="24"/>
        </w:rPr>
        <w:t>Según el consultante, s</w:t>
      </w:r>
      <w:r w:rsidRPr="0011267F">
        <w:rPr>
          <w:rFonts w:hAnsi="Calibri" w:cs="Calibri"/>
          <w:sz w:val="24"/>
          <w:szCs w:val="24"/>
        </w:rPr>
        <w:t>e entiende que, el rendimiento de la participación en una sociedad de responsabilidad limitada de aquel país encuadraría en la definición de dividendos del Tratado Internacional con Brasil</w:t>
      </w:r>
      <w:r w:rsidRPr="0011267F">
        <w:rPr>
          <w:rStyle w:val="FootnoteReference"/>
          <w:rFonts w:hAnsi="Calibri" w:cs="Calibri"/>
          <w:sz w:val="24"/>
          <w:szCs w:val="24"/>
        </w:rPr>
        <w:footnoteReference w:id="44"/>
      </w:r>
      <w:r w:rsidRPr="0011267F">
        <w:rPr>
          <w:rFonts w:hAnsi="Calibri" w:cs="Calibri"/>
          <w:sz w:val="24"/>
          <w:szCs w:val="24"/>
        </w:rPr>
        <w:t>. Con el fin de evitar la doble imposición</w:t>
      </w:r>
      <w:r>
        <w:rPr>
          <w:rFonts w:hAnsi="Calibri" w:cs="Calibri"/>
          <w:sz w:val="24"/>
          <w:szCs w:val="24"/>
        </w:rPr>
        <w:t>,</w:t>
      </w:r>
      <w:r w:rsidRPr="0011267F">
        <w:rPr>
          <w:rFonts w:hAnsi="Calibri" w:cs="Calibri"/>
          <w:sz w:val="24"/>
          <w:szCs w:val="24"/>
        </w:rPr>
        <w:t xml:space="preserve"> por aplicación del artículo 23 -se trata de rentas que puede gravar Brasil y no son procedentes de nuestro país</w:t>
      </w:r>
      <w:r w:rsidRPr="0011267F">
        <w:rPr>
          <w:rStyle w:val="FootnoteReference"/>
          <w:rFonts w:hAnsi="Calibri" w:cs="Calibri"/>
          <w:sz w:val="24"/>
          <w:szCs w:val="24"/>
        </w:rPr>
        <w:footnoteReference w:id="45"/>
      </w:r>
      <w:r w:rsidRPr="0011267F">
        <w:rPr>
          <w:rFonts w:hAnsi="Calibri" w:cs="Calibri"/>
          <w:sz w:val="24"/>
          <w:szCs w:val="24"/>
        </w:rPr>
        <w:t xml:space="preserve">- y de los artículos </w:t>
      </w:r>
      <w:r>
        <w:rPr>
          <w:rFonts w:hAnsi="Calibri" w:cs="Calibri"/>
          <w:sz w:val="24"/>
          <w:szCs w:val="24"/>
        </w:rPr>
        <w:t>referenciados en Notas al pie, no correspondía</w:t>
      </w:r>
      <w:r w:rsidRPr="0011267F">
        <w:rPr>
          <w:rFonts w:hAnsi="Calibri" w:cs="Calibri"/>
          <w:sz w:val="24"/>
          <w:szCs w:val="24"/>
        </w:rPr>
        <w:t xml:space="preserve"> someter a imposición en Argentina a las rentas en cuestión. </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sz w:val="24"/>
          <w:szCs w:val="24"/>
        </w:rPr>
        <w:t>El Fisco si bien advierte que se trata de un tema cuya competencia primaria corres</w:t>
      </w:r>
      <w:r>
        <w:rPr>
          <w:rFonts w:hAnsi="Calibri" w:cs="Calibri"/>
          <w:sz w:val="24"/>
          <w:szCs w:val="24"/>
        </w:rPr>
        <w:t>ponde al Ministerio de Hacienda</w:t>
      </w:r>
      <w:r w:rsidRPr="0011267F">
        <w:rPr>
          <w:rFonts w:hAnsi="Calibri" w:cs="Calibri"/>
          <w:sz w:val="24"/>
          <w:szCs w:val="24"/>
        </w:rPr>
        <w:t xml:space="preserve">, dice que coincide en términos generales con el criterio, destacándose que </w:t>
      </w:r>
      <w:r w:rsidRPr="0011267F">
        <w:rPr>
          <w:rFonts w:hAnsi="Calibri" w:cs="Calibri"/>
          <w:i/>
          <w:sz w:val="24"/>
          <w:szCs w:val="24"/>
        </w:rPr>
        <w:t>[n]o pueden someterse a imposición en la República Argentina las rentas de dividendos de sociedades de responsabilidad limitada de Brasil en la medida en que se cumplan con las demás condiciones del convenio].</w:t>
      </w:r>
    </w:p>
    <w:p w:rsidR="00D529C5" w:rsidRDefault="00D529C5" w:rsidP="0011267F">
      <w:pPr>
        <w:spacing w:after="0" w:line="240" w:lineRule="auto"/>
        <w:jc w:val="both"/>
        <w:rPr>
          <w:rFonts w:hAnsi="Calibri" w:cs="Calibri"/>
          <w:i/>
          <w:sz w:val="24"/>
          <w:szCs w:val="24"/>
        </w:rPr>
      </w:pPr>
    </w:p>
    <w:p w:rsidR="00D529C5" w:rsidRPr="00317387" w:rsidRDefault="00D529C5" w:rsidP="00B609F0">
      <w:pPr>
        <w:pStyle w:val="Heading5"/>
        <w:numPr>
          <w:ilvl w:val="0"/>
          <w:numId w:val="43"/>
        </w:numPr>
        <w:rPr>
          <w:rFonts w:ascii="Calibri" w:hAnsi="Calibri" w:cs="Calibri"/>
          <w:b/>
          <w:color w:val="auto"/>
          <w:sz w:val="24"/>
          <w:szCs w:val="24"/>
        </w:rPr>
      </w:pPr>
      <w:bookmarkStart w:id="25" w:name="_Toc492313324"/>
      <w:r w:rsidRPr="00317387">
        <w:rPr>
          <w:rFonts w:ascii="Calibri" w:hAnsi="Calibri" w:cs="Calibri"/>
          <w:b/>
          <w:color w:val="auto"/>
          <w:sz w:val="24"/>
          <w:szCs w:val="24"/>
        </w:rPr>
        <w:t>Portfolio de inversiones</w:t>
      </w:r>
      <w:bookmarkEnd w:id="25"/>
    </w:p>
    <w:p w:rsidR="00D529C5" w:rsidRPr="005E1BA8" w:rsidRDefault="00D529C5" w:rsidP="0011267F">
      <w:pPr>
        <w:spacing w:after="0" w:line="240" w:lineRule="auto"/>
        <w:jc w:val="both"/>
        <w:rPr>
          <w:rFonts w:hAnsi="Calibri" w:cs="Calibri"/>
          <w:b/>
          <w:sz w:val="24"/>
          <w:szCs w:val="24"/>
        </w:rPr>
      </w:pPr>
    </w:p>
    <w:p w:rsidR="00D529C5" w:rsidRDefault="00D529C5" w:rsidP="00906D86">
      <w:pPr>
        <w:pStyle w:val="NormalWeb"/>
        <w:shd w:val="clear" w:color="auto" w:fill="FFFFFF"/>
        <w:spacing w:before="0" w:beforeAutospacing="0" w:after="0" w:afterAutospacing="0"/>
        <w:jc w:val="both"/>
        <w:rPr>
          <w:rFonts w:ascii="Calibri" w:hAnsi="Calibri" w:cs="Calibri"/>
        </w:rPr>
      </w:pPr>
      <w:r>
        <w:rPr>
          <w:rFonts w:ascii="Calibri" w:hAnsi="Calibri" w:cs="Calibri"/>
        </w:rPr>
        <w:t xml:space="preserve">En el marco de la  Ley 27.260 se sostuvo que en </w:t>
      </w:r>
      <w:r w:rsidRPr="0011267F">
        <w:rPr>
          <w:rFonts w:ascii="Calibri" w:hAnsi="Calibri" w:cs="Calibri"/>
        </w:rPr>
        <w:t>el supuesto que un sujeto haya exteriorizado un portfolio de inversiones en el exterior que incluy</w:t>
      </w:r>
      <w:r>
        <w:rPr>
          <w:rFonts w:ascii="Calibri" w:hAnsi="Calibri" w:cs="Calibri"/>
        </w:rPr>
        <w:t>a</w:t>
      </w:r>
      <w:r w:rsidRPr="0011267F">
        <w:rPr>
          <w:rFonts w:ascii="Calibri" w:hAnsi="Calibri" w:cs="Calibri"/>
        </w:rPr>
        <w:t xml:space="preserve"> acciones, dinero en efectivo, </w:t>
      </w:r>
      <w:r>
        <w:rPr>
          <w:rFonts w:ascii="Calibri" w:hAnsi="Calibri" w:cs="Calibri"/>
        </w:rPr>
        <w:t>B</w:t>
      </w:r>
      <w:r w:rsidRPr="0011267F">
        <w:rPr>
          <w:rFonts w:ascii="Calibri" w:hAnsi="Calibri" w:cs="Calibri"/>
        </w:rPr>
        <w:t xml:space="preserve">onos y </w:t>
      </w:r>
      <w:r>
        <w:rPr>
          <w:rFonts w:ascii="Calibri" w:hAnsi="Calibri" w:cs="Calibri"/>
        </w:rPr>
        <w:t>O</w:t>
      </w:r>
      <w:r w:rsidRPr="0011267F">
        <w:rPr>
          <w:rFonts w:ascii="Calibri" w:hAnsi="Calibri" w:cs="Calibri"/>
        </w:rPr>
        <w:t xml:space="preserve">bligaciones </w:t>
      </w:r>
      <w:r>
        <w:rPr>
          <w:rFonts w:ascii="Calibri" w:hAnsi="Calibri" w:cs="Calibri"/>
        </w:rPr>
        <w:t>N</w:t>
      </w:r>
      <w:r w:rsidRPr="0011267F">
        <w:rPr>
          <w:rFonts w:ascii="Calibri" w:hAnsi="Calibri" w:cs="Calibri"/>
        </w:rPr>
        <w:t>egociables</w:t>
      </w:r>
      <w:r>
        <w:rPr>
          <w:rFonts w:ascii="Calibri" w:hAnsi="Calibri" w:cs="Calibri"/>
        </w:rPr>
        <w:t xml:space="preserve"> se debía</w:t>
      </w:r>
      <w:r w:rsidRPr="00082636">
        <w:rPr>
          <w:rFonts w:ascii="Calibri" w:hAnsi="Calibri" w:cs="Calibri"/>
        </w:rPr>
        <w:t xml:space="preserve"> </w:t>
      </w:r>
      <w:r w:rsidRPr="0011267F">
        <w:rPr>
          <w:rFonts w:ascii="Calibri" w:hAnsi="Calibri" w:cs="Calibri"/>
        </w:rPr>
        <w:t>tratar cada bien en particular</w:t>
      </w:r>
      <w:r>
        <w:rPr>
          <w:rFonts w:ascii="Calibri" w:hAnsi="Calibri" w:cs="Calibri"/>
        </w:rPr>
        <w:t>, a</w:t>
      </w:r>
      <w:r w:rsidRPr="0011267F">
        <w:rPr>
          <w:rFonts w:ascii="Calibri" w:hAnsi="Calibri" w:cs="Calibri"/>
        </w:rPr>
        <w:t xml:space="preserve"> los efectos de determinar el impuesto a las ganancias</w:t>
      </w:r>
      <w:r w:rsidRPr="0011267F">
        <w:rPr>
          <w:rStyle w:val="FootnoteReference"/>
          <w:rFonts w:ascii="Calibri" w:hAnsi="Calibri" w:cs="Calibri"/>
        </w:rPr>
        <w:footnoteReference w:id="46"/>
      </w:r>
      <w:r w:rsidRPr="0011267F">
        <w:rPr>
          <w:rFonts w:ascii="Calibri" w:hAnsi="Calibri" w:cs="Calibri"/>
        </w:rPr>
        <w:t>.</w:t>
      </w:r>
    </w:p>
    <w:p w:rsidR="00D529C5" w:rsidRPr="00906D86" w:rsidRDefault="00D529C5" w:rsidP="00906D86">
      <w:pPr>
        <w:pStyle w:val="NormalWeb"/>
        <w:shd w:val="clear" w:color="auto" w:fill="FFFFFF"/>
        <w:spacing w:before="0" w:beforeAutospacing="0" w:after="0" w:afterAutospacing="0"/>
        <w:jc w:val="both"/>
        <w:rPr>
          <w:rFonts w:ascii="Calibri" w:hAnsi="Calibri" w:cs="Calibri"/>
        </w:rPr>
      </w:pPr>
    </w:p>
    <w:p w:rsidR="00D529C5" w:rsidRPr="00317387" w:rsidRDefault="00D529C5" w:rsidP="00B609F0">
      <w:pPr>
        <w:pStyle w:val="Heading5"/>
        <w:numPr>
          <w:ilvl w:val="0"/>
          <w:numId w:val="43"/>
        </w:numPr>
        <w:rPr>
          <w:rFonts w:ascii="Calibri" w:hAnsi="Calibri" w:cs="Calibri"/>
          <w:b/>
          <w:color w:val="auto"/>
          <w:sz w:val="24"/>
          <w:szCs w:val="24"/>
        </w:rPr>
      </w:pPr>
      <w:bookmarkStart w:id="26" w:name="_Toc491335383"/>
      <w:bookmarkStart w:id="27" w:name="_Toc492313325"/>
      <w:r w:rsidRPr="00317387">
        <w:rPr>
          <w:rFonts w:ascii="Calibri" w:hAnsi="Calibri" w:cs="Calibri"/>
          <w:b/>
          <w:color w:val="auto"/>
          <w:sz w:val="24"/>
          <w:szCs w:val="24"/>
        </w:rPr>
        <w:t>Fondo común de inversión</w:t>
      </w:r>
      <w:bookmarkEnd w:id="26"/>
      <w:bookmarkEnd w:id="27"/>
    </w:p>
    <w:p w:rsidR="00D529C5" w:rsidRPr="0011267F"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El Fisco se expidió respecto a cómo debe considerarse la inversión en un Fondo de Inversión del exterior. ¿Es necesario considerar el tratamiento frente al gravamen de cada uno de los componentes de la cartera? Se aclaraba en la consulta que la cuenta del Fondo estaba constituida entre otros por Bonos emitidos por el Estado Argentino o Bonos emitidos por empresas argentinas (YPF). El Organismo sostuvo que no corresponde el desglose y que el certificado de participación en dicho Fondo está alcanzado por el impuesto a las ganancias, así como por el impuesto sobre los bienes personales. No interesando en la situación planteada que, en la integración del Fondo existan valores que individualmente puedan estar exentos en ambos gravámenes</w:t>
      </w:r>
      <w:r w:rsidRPr="0011267F">
        <w:rPr>
          <w:rStyle w:val="FootnoteReference"/>
          <w:rFonts w:hAnsi="Calibri" w:cs="Calibri"/>
          <w:sz w:val="24"/>
          <w:szCs w:val="24"/>
        </w:rPr>
        <w:footnoteReference w:id="47"/>
      </w:r>
      <w:r w:rsidRPr="0011267F">
        <w:rPr>
          <w:rFonts w:hAnsi="Calibri" w:cs="Calibri"/>
          <w:sz w:val="24"/>
          <w:szCs w:val="24"/>
        </w:rPr>
        <w:t>.</w:t>
      </w:r>
    </w:p>
    <w:p w:rsidR="00D529C5" w:rsidRDefault="00D529C5" w:rsidP="0011267F">
      <w:pPr>
        <w:spacing w:after="0" w:line="240" w:lineRule="auto"/>
        <w:jc w:val="both"/>
        <w:rPr>
          <w:rFonts w:hAnsi="Calibri" w:cs="Calibri"/>
          <w:sz w:val="24"/>
          <w:szCs w:val="24"/>
        </w:rPr>
      </w:pPr>
    </w:p>
    <w:p w:rsidR="00D529C5" w:rsidRPr="00317387" w:rsidRDefault="00D529C5" w:rsidP="00B609F0">
      <w:pPr>
        <w:pStyle w:val="Heading5"/>
        <w:numPr>
          <w:ilvl w:val="0"/>
          <w:numId w:val="43"/>
        </w:numPr>
        <w:rPr>
          <w:rFonts w:ascii="Calibri" w:hAnsi="Calibri" w:cs="Calibri"/>
          <w:b/>
          <w:color w:val="auto"/>
          <w:sz w:val="24"/>
          <w:szCs w:val="24"/>
        </w:rPr>
      </w:pPr>
      <w:bookmarkStart w:id="28" w:name="_Toc492313326"/>
      <w:r w:rsidRPr="00317387">
        <w:rPr>
          <w:rFonts w:ascii="Calibri" w:hAnsi="Calibri" w:cs="Calibri"/>
          <w:b/>
          <w:color w:val="auto"/>
          <w:sz w:val="24"/>
          <w:szCs w:val="24"/>
        </w:rPr>
        <w:t>¿Contrato financiero derivado o venta de acciones a futuro?</w:t>
      </w:r>
      <w:bookmarkEnd w:id="28"/>
    </w:p>
    <w:p w:rsidR="00D529C5" w:rsidRPr="0011267F" w:rsidRDefault="00D529C5" w:rsidP="0011267F">
      <w:pPr>
        <w:spacing w:after="0" w:line="240" w:lineRule="auto"/>
        <w:jc w:val="both"/>
        <w:rPr>
          <w:rFonts w:hAnsi="Calibri" w:cs="Calibri"/>
          <w:sz w:val="18"/>
          <w:szCs w:val="18"/>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En un interesante antecedente jurisprudencial</w:t>
      </w:r>
      <w:r w:rsidRPr="0011267F">
        <w:rPr>
          <w:rStyle w:val="FootnoteReference"/>
          <w:rFonts w:hAnsi="Calibri" w:cs="Calibri"/>
          <w:sz w:val="24"/>
          <w:szCs w:val="24"/>
        </w:rPr>
        <w:footnoteReference w:id="48"/>
      </w:r>
      <w:r w:rsidRPr="0011267F">
        <w:rPr>
          <w:rFonts w:hAnsi="Calibri" w:cs="Calibri"/>
          <w:sz w:val="24"/>
          <w:szCs w:val="24"/>
        </w:rPr>
        <w:t xml:space="preserve"> al merituarse el aspecto sancionatorio de la conducta de una residente argentina, se discutió el tratamiento fiscal de la operación que se detalla a continuación</w:t>
      </w:r>
      <w:r>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tbl>
      <w:tblPr>
        <w:tblW w:w="0" w:type="auto"/>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0"/>
        <w:gridCol w:w="1843"/>
      </w:tblGrid>
      <w:tr w:rsidR="00D529C5" w:rsidRPr="007B76CE" w:rsidTr="007B76CE">
        <w:tc>
          <w:tcPr>
            <w:tcW w:w="2830" w:type="dxa"/>
            <w:shd w:val="clear" w:color="auto" w:fill="104876"/>
          </w:tcPr>
          <w:p w:rsidR="00D529C5" w:rsidRPr="007B76CE" w:rsidRDefault="00D529C5" w:rsidP="007B76CE">
            <w:pPr>
              <w:spacing w:after="0" w:line="240" w:lineRule="auto"/>
              <w:ind w:left="284"/>
              <w:jc w:val="both"/>
              <w:rPr>
                <w:rFonts w:hAnsi="Calibri" w:cs="Calibri"/>
                <w:b/>
                <w:color w:val="FFFFFF"/>
                <w:sz w:val="20"/>
                <w:szCs w:val="20"/>
              </w:rPr>
            </w:pPr>
            <w:r w:rsidRPr="007B76CE">
              <w:rPr>
                <w:rFonts w:hAnsi="Calibri" w:cs="Calibri"/>
                <w:b/>
                <w:color w:val="FFFFFF"/>
                <w:sz w:val="20"/>
                <w:szCs w:val="20"/>
              </w:rPr>
              <w:t>ADRs de Telebras</w:t>
            </w:r>
          </w:p>
        </w:tc>
        <w:tc>
          <w:tcPr>
            <w:tcW w:w="1843" w:type="dxa"/>
            <w:shd w:val="clear" w:color="auto" w:fill="104876"/>
          </w:tcPr>
          <w:p w:rsidR="00D529C5" w:rsidRPr="007B76CE" w:rsidRDefault="00D529C5" w:rsidP="007B76CE">
            <w:pPr>
              <w:spacing w:after="0" w:line="240" w:lineRule="auto"/>
              <w:jc w:val="both"/>
              <w:rPr>
                <w:rFonts w:hAnsi="Calibri" w:cs="Calibri"/>
                <w:b/>
                <w:color w:val="FFFFFF"/>
                <w:sz w:val="20"/>
                <w:szCs w:val="20"/>
              </w:rPr>
            </w:pPr>
          </w:p>
        </w:tc>
      </w:tr>
      <w:tr w:rsidR="00D529C5" w:rsidRPr="007B76CE" w:rsidTr="007B76CE">
        <w:tc>
          <w:tcPr>
            <w:tcW w:w="2830"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Fecha de adquisición</w:t>
            </w:r>
          </w:p>
        </w:tc>
        <w:tc>
          <w:tcPr>
            <w:tcW w:w="1843"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02/11/1999</w:t>
            </w:r>
          </w:p>
        </w:tc>
      </w:tr>
      <w:tr w:rsidR="00D529C5" w:rsidRPr="007B76CE" w:rsidTr="007B76CE">
        <w:tc>
          <w:tcPr>
            <w:tcW w:w="2830"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Precio de adquisición unitario</w:t>
            </w:r>
          </w:p>
        </w:tc>
        <w:tc>
          <w:tcPr>
            <w:tcW w:w="1843"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U$S 80</w:t>
            </w:r>
          </w:p>
        </w:tc>
      </w:tr>
      <w:tr w:rsidR="00D529C5" w:rsidRPr="007B76CE" w:rsidTr="007B76CE">
        <w:tc>
          <w:tcPr>
            <w:tcW w:w="2830"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Monto de adquisición</w:t>
            </w:r>
          </w:p>
        </w:tc>
        <w:tc>
          <w:tcPr>
            <w:tcW w:w="1843"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U$S 520.000</w:t>
            </w:r>
          </w:p>
        </w:tc>
      </w:tr>
      <w:tr w:rsidR="00D529C5" w:rsidRPr="007B76CE" w:rsidTr="007B76CE">
        <w:tc>
          <w:tcPr>
            <w:tcW w:w="2830"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 xml:space="preserve">Fecha de liquidación </w:t>
            </w:r>
          </w:p>
        </w:tc>
        <w:tc>
          <w:tcPr>
            <w:tcW w:w="1843"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31/03/2000</w:t>
            </w:r>
          </w:p>
        </w:tc>
      </w:tr>
      <w:tr w:rsidR="00D529C5" w:rsidRPr="007B76CE" w:rsidTr="007B76CE">
        <w:tc>
          <w:tcPr>
            <w:tcW w:w="2830"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Precio de venta unitario</w:t>
            </w:r>
          </w:p>
        </w:tc>
        <w:tc>
          <w:tcPr>
            <w:tcW w:w="1843"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U$S 141</w:t>
            </w:r>
          </w:p>
        </w:tc>
      </w:tr>
      <w:tr w:rsidR="00D529C5" w:rsidRPr="007B76CE" w:rsidTr="007B76CE">
        <w:tc>
          <w:tcPr>
            <w:tcW w:w="2830"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Monto de venta</w:t>
            </w:r>
          </w:p>
        </w:tc>
        <w:tc>
          <w:tcPr>
            <w:tcW w:w="1843"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U$S 916.500 (*)</w:t>
            </w:r>
          </w:p>
        </w:tc>
      </w:tr>
      <w:tr w:rsidR="00D529C5" w:rsidRPr="007B76CE" w:rsidTr="007B76CE">
        <w:tc>
          <w:tcPr>
            <w:tcW w:w="2830"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 xml:space="preserve">Resultado compraventa </w:t>
            </w:r>
          </w:p>
        </w:tc>
        <w:tc>
          <w:tcPr>
            <w:tcW w:w="1843" w:type="dxa"/>
          </w:tcPr>
          <w:p w:rsidR="00D529C5" w:rsidRPr="007B76CE" w:rsidRDefault="00D529C5" w:rsidP="007B76CE">
            <w:pPr>
              <w:spacing w:after="0" w:line="240" w:lineRule="auto"/>
              <w:jc w:val="both"/>
              <w:rPr>
                <w:rFonts w:hAnsi="Calibri" w:cs="Calibri"/>
                <w:sz w:val="20"/>
                <w:szCs w:val="20"/>
              </w:rPr>
            </w:pPr>
            <w:r w:rsidRPr="007B76CE">
              <w:rPr>
                <w:rFonts w:hAnsi="Calibri" w:cs="Calibri"/>
                <w:sz w:val="20"/>
                <w:szCs w:val="20"/>
              </w:rPr>
              <w:t>U$S 396.500</w:t>
            </w:r>
          </w:p>
        </w:tc>
      </w:tr>
    </w:tbl>
    <w:p w:rsidR="00D529C5" w:rsidRPr="0011267F" w:rsidRDefault="00D529C5" w:rsidP="005C480B">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“operación ligada con la compra de futuro del 02/11/1999”, según documentación del agente de bolsa del exterior.</w:t>
      </w:r>
    </w:p>
    <w:p w:rsidR="00D529C5" w:rsidRPr="0011267F"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 xml:space="preserve">Según el Fisco nos encontrábamos ante una operación </w:t>
      </w:r>
      <w:r>
        <w:rPr>
          <w:rFonts w:hAnsi="Calibri" w:cs="Calibri"/>
          <w:sz w:val="24"/>
          <w:szCs w:val="24"/>
        </w:rPr>
        <w:t xml:space="preserve">de </w:t>
      </w:r>
      <w:r w:rsidRPr="0011267F">
        <w:rPr>
          <w:rFonts w:hAnsi="Calibri" w:cs="Calibri"/>
          <w:sz w:val="24"/>
          <w:szCs w:val="24"/>
        </w:rPr>
        <w:t>contratos financieros derivados, ya que la actora se comprometía a comprar o vender un activo en una fecha futura, sosteniendo que las ganancias obtenidas prov</w:t>
      </w:r>
      <w:r>
        <w:rPr>
          <w:rFonts w:hAnsi="Calibri" w:cs="Calibri"/>
          <w:sz w:val="24"/>
          <w:szCs w:val="24"/>
        </w:rPr>
        <w:t>enían</w:t>
      </w:r>
      <w:r w:rsidRPr="0011267F">
        <w:rPr>
          <w:rFonts w:hAnsi="Calibri" w:cs="Calibri"/>
          <w:sz w:val="24"/>
          <w:szCs w:val="24"/>
        </w:rPr>
        <w:t xml:space="preserve"> de la liquidación del convenio financiero y no de la tenencia o enajenación del activo subyacente constituido por un ADR de una empresa del exterior (ADRs de Telebras)</w:t>
      </w:r>
      <w:r>
        <w:rPr>
          <w:rFonts w:hAnsi="Calibri" w:cs="Calibri"/>
          <w:sz w:val="24"/>
          <w:szCs w:val="24"/>
        </w:rPr>
        <w:t>, verificándose</w:t>
      </w:r>
      <w:r w:rsidRPr="0011267F">
        <w:rPr>
          <w:rFonts w:hAnsi="Calibri" w:cs="Calibri"/>
          <w:sz w:val="24"/>
          <w:szCs w:val="24"/>
        </w:rPr>
        <w:t xml:space="preserve"> la existencia de una renta de fuente argentina alcanzada por el artículo 45 inc. j) de </w:t>
      </w:r>
      <w:r>
        <w:rPr>
          <w:rFonts w:hAnsi="Calibri" w:cs="Calibri"/>
          <w:sz w:val="24"/>
          <w:szCs w:val="24"/>
        </w:rPr>
        <w:t>la ley del tributo</w:t>
      </w:r>
      <w:r w:rsidRPr="0011267F">
        <w:rPr>
          <w:rFonts w:hAnsi="Calibri" w:cs="Calibri"/>
          <w:sz w:val="24"/>
          <w:szCs w:val="24"/>
        </w:rPr>
        <w:t xml:space="preserve"> en virtud de que </w:t>
      </w:r>
      <w:r>
        <w:rPr>
          <w:rFonts w:hAnsi="Calibri" w:cs="Calibri"/>
          <w:sz w:val="24"/>
          <w:szCs w:val="24"/>
        </w:rPr>
        <w:t xml:space="preserve">en estos casos se </w:t>
      </w:r>
      <w:r w:rsidRPr="0011267F">
        <w:rPr>
          <w:rFonts w:hAnsi="Calibri" w:cs="Calibri"/>
          <w:sz w:val="24"/>
          <w:szCs w:val="24"/>
        </w:rPr>
        <w:t>define el criterio de fuente en función de la localización del riesgo y éste en función del criterio de residencia del sujeto beneficiario de los resultados; mientras que para la actora, se esta</w:t>
      </w:r>
      <w:r>
        <w:rPr>
          <w:rFonts w:hAnsi="Calibri" w:cs="Calibri"/>
          <w:sz w:val="24"/>
          <w:szCs w:val="24"/>
        </w:rPr>
        <w:t>ba</w:t>
      </w:r>
      <w:r w:rsidRPr="0011267F">
        <w:rPr>
          <w:rFonts w:hAnsi="Calibri" w:cs="Calibri"/>
          <w:sz w:val="24"/>
          <w:szCs w:val="24"/>
        </w:rPr>
        <w:t xml:space="preserve"> ante el resultado de una operación de compra-venta de acciones a futuro, por lo tanto alcanzado por la exención prevista en el artículo 20 inciso w) de la </w:t>
      </w:r>
      <w:r>
        <w:rPr>
          <w:rFonts w:hAnsi="Calibri" w:cs="Calibri"/>
          <w:sz w:val="24"/>
          <w:szCs w:val="24"/>
        </w:rPr>
        <w:t>ley del gravamen</w:t>
      </w:r>
      <w:r w:rsidRPr="0011267F">
        <w:rPr>
          <w:rStyle w:val="FootnoteReference"/>
          <w:rFonts w:hAnsi="Calibri" w:cs="Calibri"/>
          <w:sz w:val="24"/>
          <w:szCs w:val="24"/>
        </w:rPr>
        <w:footnoteReference w:id="49"/>
      </w:r>
      <w:r w:rsidRPr="0011267F">
        <w:rPr>
          <w:rFonts w:hAnsi="Calibri" w:cs="Calibri"/>
          <w:sz w:val="24"/>
          <w:szCs w:val="24"/>
        </w:rPr>
        <w:t xml:space="preserve"> asignándole a esta última el carácter de no</w:t>
      </w:r>
      <w:r>
        <w:rPr>
          <w:rFonts w:hAnsi="Calibri" w:cs="Calibri"/>
          <w:sz w:val="24"/>
          <w:szCs w:val="24"/>
        </w:rPr>
        <w:t>rma de carácter general que debía</w:t>
      </w:r>
      <w:r w:rsidRPr="0011267F">
        <w:rPr>
          <w:rFonts w:hAnsi="Calibri" w:cs="Calibri"/>
          <w:sz w:val="24"/>
          <w:szCs w:val="24"/>
        </w:rPr>
        <w:t xml:space="preserve"> prevalecer sobre las de naturaleza específica</w:t>
      </w:r>
      <w:r>
        <w:rPr>
          <w:rFonts w:hAnsi="Calibri" w:cs="Calibri"/>
          <w:sz w:val="24"/>
          <w:szCs w:val="24"/>
        </w:rPr>
        <w:t>,</w:t>
      </w:r>
      <w:r w:rsidRPr="0011267F">
        <w:rPr>
          <w:rFonts w:hAnsi="Calibri" w:cs="Calibri"/>
          <w:sz w:val="24"/>
          <w:szCs w:val="24"/>
        </w:rPr>
        <w:t xml:space="preserve"> como es la del artículo 45 inc. j) citado. El conflicto en cuanto a qué norma correspond</w:t>
      </w:r>
      <w:r>
        <w:rPr>
          <w:rFonts w:hAnsi="Calibri" w:cs="Calibri"/>
          <w:sz w:val="24"/>
          <w:szCs w:val="24"/>
        </w:rPr>
        <w:t>í</w:t>
      </w:r>
      <w:r w:rsidRPr="0011267F">
        <w:rPr>
          <w:rFonts w:hAnsi="Calibri" w:cs="Calibri"/>
          <w:sz w:val="24"/>
          <w:szCs w:val="24"/>
        </w:rPr>
        <w:t>a aplicar emerge, a criterio del Tribunal, debido al activo subyacente de la contratación que resulta</w:t>
      </w:r>
      <w:r>
        <w:rPr>
          <w:rFonts w:hAnsi="Calibri" w:cs="Calibri"/>
          <w:sz w:val="24"/>
          <w:szCs w:val="24"/>
        </w:rPr>
        <w:t>ba</w:t>
      </w:r>
      <w:r w:rsidRPr="0011267F">
        <w:rPr>
          <w:rFonts w:hAnsi="Calibri" w:cs="Calibri"/>
          <w:sz w:val="24"/>
          <w:szCs w:val="24"/>
        </w:rPr>
        <w:t xml:space="preserve"> ser un ADR representativo de acciones. Se concluye en esa instancia que</w:t>
      </w:r>
      <w:r>
        <w:rPr>
          <w:rFonts w:hAnsi="Calibri" w:cs="Calibri"/>
          <w:sz w:val="24"/>
          <w:szCs w:val="24"/>
        </w:rPr>
        <w:t>,</w:t>
      </w:r>
      <w:r w:rsidRPr="0011267F">
        <w:rPr>
          <w:rFonts w:hAnsi="Calibri" w:cs="Calibri"/>
          <w:sz w:val="24"/>
          <w:szCs w:val="24"/>
        </w:rPr>
        <w:t xml:space="preserve"> la actora no había adquirido ni vendido acciones. En la situación planteada, basándose en los hechos y doctrina nacional e internacional concluye que, se está ante un</w:t>
      </w:r>
      <w:r w:rsidRPr="0011267F">
        <w:rPr>
          <w:rFonts w:hAnsi="Calibri" w:cs="Calibri"/>
          <w:i/>
          <w:sz w:val="24"/>
          <w:szCs w:val="24"/>
        </w:rPr>
        <w:t xml:space="preserve"> [c]ontrato derivado cuyo activo subyacente es un certificado americano de depósito, que en una fecha determinada es comprado a un precio unitario para ser vendido a otra fecha determinada]</w:t>
      </w:r>
      <w:r w:rsidRPr="0011267F">
        <w:rPr>
          <w:rStyle w:val="FootnoteReference"/>
          <w:rFonts w:hAnsi="Calibri" w:cs="Calibri"/>
          <w:i/>
          <w:sz w:val="24"/>
          <w:szCs w:val="24"/>
        </w:rPr>
        <w:footnoteReference w:id="50"/>
      </w:r>
      <w:r w:rsidRPr="0011267F">
        <w:rPr>
          <w:rFonts w:hAnsi="Calibri" w:cs="Calibri"/>
          <w:sz w:val="24"/>
          <w:szCs w:val="24"/>
        </w:rPr>
        <w:t>; constituyendo la diferencia de precios entre esos dos momentos, el interés económico del contrato.</w:t>
      </w:r>
    </w:p>
    <w:p w:rsidR="00D529C5" w:rsidRPr="0011267F" w:rsidRDefault="00D529C5" w:rsidP="0011267F">
      <w:pPr>
        <w:spacing w:after="0" w:line="240" w:lineRule="auto"/>
        <w:jc w:val="both"/>
        <w:rPr>
          <w:rFonts w:hAnsi="Calibri" w:cs="Calibri"/>
          <w:sz w:val="24"/>
          <w:szCs w:val="24"/>
        </w:rPr>
      </w:pPr>
    </w:p>
    <w:p w:rsidR="00D529C5" w:rsidRPr="00317387" w:rsidRDefault="00D529C5" w:rsidP="00B609F0">
      <w:pPr>
        <w:pStyle w:val="Heading5"/>
        <w:numPr>
          <w:ilvl w:val="0"/>
          <w:numId w:val="43"/>
        </w:numPr>
        <w:rPr>
          <w:rFonts w:ascii="Calibri" w:hAnsi="Calibri" w:cs="Calibri"/>
          <w:b/>
          <w:color w:val="auto"/>
          <w:sz w:val="24"/>
          <w:szCs w:val="24"/>
        </w:rPr>
      </w:pPr>
      <w:bookmarkStart w:id="29" w:name="_Toc491335384"/>
      <w:bookmarkStart w:id="30" w:name="_Toc492313327"/>
      <w:r>
        <w:rPr>
          <w:rFonts w:ascii="Calibri" w:hAnsi="Calibri" w:cs="Calibri"/>
          <w:b/>
          <w:color w:val="auto"/>
          <w:sz w:val="24"/>
          <w:szCs w:val="24"/>
        </w:rPr>
        <w:t xml:space="preserve">Deducción </w:t>
      </w:r>
      <w:r w:rsidRPr="00317387">
        <w:rPr>
          <w:rFonts w:ascii="Calibri" w:hAnsi="Calibri" w:cs="Calibri"/>
          <w:b/>
          <w:color w:val="auto"/>
          <w:sz w:val="24"/>
          <w:szCs w:val="24"/>
        </w:rPr>
        <w:t>del impuesto sobre los bienes personales</w:t>
      </w:r>
      <w:bookmarkEnd w:id="29"/>
      <w:bookmarkEnd w:id="30"/>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Pr>
          <w:rFonts w:hAnsi="Calibri" w:cs="Calibri"/>
          <w:sz w:val="24"/>
          <w:szCs w:val="24"/>
        </w:rPr>
        <w:t>Respecto de</w:t>
      </w:r>
      <w:r w:rsidRPr="0011267F">
        <w:rPr>
          <w:rFonts w:hAnsi="Calibri" w:cs="Calibri"/>
          <w:sz w:val="24"/>
          <w:szCs w:val="24"/>
        </w:rPr>
        <w:t xml:space="preserve"> la deducibilidad del impuesto sobre los Bienes Personales que </w:t>
      </w:r>
      <w:r>
        <w:rPr>
          <w:rFonts w:hAnsi="Calibri" w:cs="Calibri"/>
          <w:sz w:val="24"/>
          <w:szCs w:val="24"/>
        </w:rPr>
        <w:t>grava los bienes en el exterior. E</w:t>
      </w:r>
      <w:r w:rsidRPr="0011267F">
        <w:rPr>
          <w:rFonts w:hAnsi="Calibri" w:cs="Calibri"/>
          <w:sz w:val="24"/>
          <w:szCs w:val="24"/>
        </w:rPr>
        <w:t>n el caso</w:t>
      </w:r>
      <w:r>
        <w:rPr>
          <w:rFonts w:hAnsi="Calibri" w:cs="Calibri"/>
          <w:sz w:val="24"/>
          <w:szCs w:val="24"/>
        </w:rPr>
        <w:t xml:space="preserve"> en el que,</w:t>
      </w:r>
      <w:r w:rsidRPr="0011267F">
        <w:rPr>
          <w:rFonts w:hAnsi="Calibri" w:cs="Calibri"/>
          <w:sz w:val="24"/>
          <w:szCs w:val="24"/>
        </w:rPr>
        <w:t xml:space="preserve"> supere la renta de fuente extranjera que producen los mismos, no p</w:t>
      </w:r>
      <w:r>
        <w:rPr>
          <w:rFonts w:hAnsi="Calibri" w:cs="Calibri"/>
          <w:sz w:val="24"/>
          <w:szCs w:val="24"/>
        </w:rPr>
        <w:t>uede ser deducido</w:t>
      </w:r>
      <w:r w:rsidRPr="0011267F">
        <w:rPr>
          <w:rFonts w:hAnsi="Calibri" w:cs="Calibri"/>
          <w:sz w:val="24"/>
          <w:szCs w:val="24"/>
        </w:rPr>
        <w:t xml:space="preserve"> contra las rentas de fuente argentina, siendo solo factible su deducción contra rentas de fuente foránea del período fiscal</w:t>
      </w:r>
      <w:r w:rsidRPr="0011267F">
        <w:rPr>
          <w:rStyle w:val="FootnoteReference"/>
          <w:rFonts w:hAnsi="Calibri" w:cs="Calibri"/>
          <w:sz w:val="24"/>
          <w:szCs w:val="24"/>
        </w:rPr>
        <w:footnoteReference w:id="51"/>
      </w:r>
      <w:r w:rsidRPr="0011267F">
        <w:rPr>
          <w:rFonts w:hAnsi="Calibri" w:cs="Calibri"/>
          <w:sz w:val="24"/>
          <w:szCs w:val="24"/>
        </w:rPr>
        <w:t>, y si ello no fuera posible se habilita la compensación dentro del límite temporal de cinco año</w:t>
      </w:r>
      <w:r>
        <w:rPr>
          <w:rFonts w:hAnsi="Calibri" w:cs="Calibri"/>
          <w:sz w:val="24"/>
          <w:szCs w:val="24"/>
        </w:rPr>
        <w:t>s</w:t>
      </w:r>
      <w:r w:rsidRPr="0011267F">
        <w:rPr>
          <w:rFonts w:hAnsi="Calibri" w:cs="Calibri"/>
          <w:sz w:val="24"/>
          <w:szCs w:val="24"/>
        </w:rPr>
        <w:t xml:space="preserve"> siguientes al período en el que se produjo el quebranto</w:t>
      </w:r>
      <w:r w:rsidRPr="0011267F">
        <w:rPr>
          <w:rStyle w:val="FootnoteReference"/>
          <w:rFonts w:hAnsi="Calibri" w:cs="Calibri"/>
          <w:sz w:val="24"/>
          <w:szCs w:val="24"/>
        </w:rPr>
        <w:footnoteReference w:id="52"/>
      </w:r>
      <w:r w:rsidRPr="0011267F">
        <w:rPr>
          <w:rStyle w:val="FootnoteReference"/>
          <w:rFonts w:hAnsi="Calibri" w:cs="Calibri"/>
          <w:sz w:val="24"/>
          <w:szCs w:val="24"/>
        </w:rPr>
        <w:footnoteReference w:id="53"/>
      </w:r>
      <w:r>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317387" w:rsidRDefault="00D529C5" w:rsidP="00B609F0">
      <w:pPr>
        <w:pStyle w:val="Heading5"/>
        <w:numPr>
          <w:ilvl w:val="0"/>
          <w:numId w:val="43"/>
        </w:numPr>
        <w:rPr>
          <w:rFonts w:ascii="Calibri" w:hAnsi="Calibri" w:cs="Calibri"/>
          <w:b/>
          <w:color w:val="auto"/>
          <w:sz w:val="24"/>
          <w:szCs w:val="24"/>
        </w:rPr>
      </w:pPr>
      <w:bookmarkStart w:id="31" w:name="_Toc491335385"/>
      <w:bookmarkStart w:id="32" w:name="_Toc492313328"/>
      <w:r w:rsidRPr="00317387">
        <w:rPr>
          <w:rFonts w:ascii="Calibri" w:hAnsi="Calibri" w:cs="Calibri"/>
          <w:b/>
          <w:color w:val="auto"/>
          <w:sz w:val="24"/>
          <w:szCs w:val="24"/>
        </w:rPr>
        <w:t>Resultados provenientes de compraventa de acciones y otros valores</w:t>
      </w:r>
      <w:bookmarkEnd w:id="31"/>
      <w:bookmarkEnd w:id="32"/>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i/>
          <w:sz w:val="24"/>
          <w:szCs w:val="24"/>
          <w:lang w:eastAsia="en-US"/>
        </w:rPr>
      </w:pPr>
      <w:bookmarkStart w:id="33" w:name="_Hlk490865182"/>
      <w:r w:rsidRPr="0011267F">
        <w:rPr>
          <w:rFonts w:hAnsi="Calibri" w:cs="Calibri"/>
          <w:sz w:val="24"/>
          <w:szCs w:val="24"/>
          <w:lang w:eastAsia="en-US"/>
        </w:rPr>
        <w:t xml:space="preserve">El artículo 20 inciso w) de la </w:t>
      </w:r>
      <w:r>
        <w:rPr>
          <w:rFonts w:hAnsi="Calibri" w:cs="Calibri"/>
          <w:sz w:val="24"/>
          <w:szCs w:val="24"/>
          <w:lang w:eastAsia="en-US"/>
        </w:rPr>
        <w:t>ley del gravamen</w:t>
      </w:r>
      <w:r w:rsidRPr="0011267F">
        <w:rPr>
          <w:rFonts w:hAnsi="Calibri" w:cs="Calibri"/>
          <w:sz w:val="24"/>
          <w:szCs w:val="24"/>
          <w:lang w:eastAsia="en-US"/>
        </w:rPr>
        <w:t xml:space="preserve"> dispone que están exentos del gravamen </w:t>
      </w:r>
      <w:r w:rsidRPr="0011267F">
        <w:rPr>
          <w:rFonts w:hAnsi="Calibri" w:cs="Calibri"/>
          <w:i/>
          <w:sz w:val="24"/>
          <w:szCs w:val="24"/>
          <w:lang w:eastAsia="en-US"/>
        </w:rPr>
        <w:t>[L]os resultados provenientes de operaciones de compraventa, cambio, permuta, o disposición de acciones, cuotas y participaciones sociales, títulos, bonos y demás valores, obtenidos por personas físicas residentes y sucesiones indivisas radicadas en el país, en tanto no resulten comprendidas en las previsiones del inciso c) del artículo 49, excluidos los originados en las citadas operaciones, que tengan por objeto acciones, cuotas y participaciones sociales, títulos, bonos y demás valores, que no coticen en bolsas o mercados de valores y/o que no tengan autorización de oferta pública].</w:t>
      </w:r>
    </w:p>
    <w:p w:rsidR="00D529C5" w:rsidRPr="0011267F" w:rsidRDefault="00D529C5" w:rsidP="0011267F">
      <w:pPr>
        <w:spacing w:after="0" w:line="240" w:lineRule="auto"/>
        <w:jc w:val="both"/>
        <w:rPr>
          <w:rFonts w:hAnsi="Calibri" w:cs="Calibri"/>
          <w:sz w:val="24"/>
          <w:szCs w:val="24"/>
          <w:lang w:eastAsia="en-US"/>
        </w:rPr>
      </w:pPr>
    </w:p>
    <w:p w:rsidR="00D529C5" w:rsidRPr="0011267F" w:rsidRDefault="00D529C5" w:rsidP="0011267F">
      <w:pPr>
        <w:spacing w:after="0" w:line="240" w:lineRule="auto"/>
        <w:jc w:val="both"/>
        <w:rPr>
          <w:rFonts w:hAnsi="Calibri" w:cs="Calibri"/>
          <w:i/>
          <w:sz w:val="24"/>
          <w:szCs w:val="24"/>
          <w:lang w:eastAsia="en-US"/>
        </w:rPr>
      </w:pPr>
      <w:r w:rsidRPr="0011267F">
        <w:rPr>
          <w:rFonts w:hAnsi="Calibri" w:cs="Calibri"/>
          <w:sz w:val="24"/>
          <w:szCs w:val="24"/>
          <w:lang w:eastAsia="en-US"/>
        </w:rPr>
        <w:t xml:space="preserve">Por su parte, el Decreto </w:t>
      </w:r>
      <w:r>
        <w:rPr>
          <w:rFonts w:hAnsi="Calibri" w:cs="Calibri"/>
          <w:sz w:val="24"/>
          <w:szCs w:val="24"/>
          <w:lang w:eastAsia="en-US"/>
        </w:rPr>
        <w:t xml:space="preserve">reglamentario de la ley del gravamen </w:t>
      </w:r>
      <w:r w:rsidRPr="0011267F">
        <w:rPr>
          <w:rFonts w:hAnsi="Calibri" w:cs="Calibri"/>
          <w:sz w:val="24"/>
          <w:szCs w:val="24"/>
          <w:lang w:eastAsia="en-US"/>
        </w:rPr>
        <w:t xml:space="preserve">establece que </w:t>
      </w:r>
      <w:r w:rsidRPr="0011267F">
        <w:rPr>
          <w:rFonts w:hAnsi="Calibri" w:cs="Calibri"/>
          <w:i/>
          <w:sz w:val="24"/>
          <w:szCs w:val="24"/>
          <w:lang w:eastAsia="en-US"/>
        </w:rPr>
        <w:t>[S]e encuentran comprendidos en la exención que establece el Artículo 20, inciso w), de la ley, los resultados provenientes de la enajenación de acciones, cuotas y participaciones sociales —incluidas cuotas partes de fondos comunes de inversión—, títulos, bonos y demás valores, que se realicen a través de bolsas o mercados de valores autorizados por la COMISIÓN NACIONAL DE VALORES entidad autárquica actuante en la órbita de la SUBSECRETARIA DE SERVICIOS FINANCIEROS de la SECRETARIA DE FINANZAS del MINISTERIO DE ECONOMÍA Y FINANZAS PUBLICAS, obtenidos por personas físicas residentes y sucesiones indivisas radicadas en el país, siempre que esas operaciones no resulten atribuibles a empresas o explotaciones unipersonales comprendidas en los incisos b), c) y en el último párrafo del Artículo 49 de la ley]</w:t>
      </w:r>
      <w:r>
        <w:rPr>
          <w:rStyle w:val="FootnoteReference"/>
          <w:rFonts w:hAnsi="Calibri" w:cs="Calibri"/>
          <w:i/>
          <w:sz w:val="24"/>
          <w:szCs w:val="24"/>
          <w:lang w:eastAsia="en-US"/>
        </w:rPr>
        <w:footnoteReference w:id="54"/>
      </w:r>
      <w:r w:rsidRPr="0011267F">
        <w:rPr>
          <w:rFonts w:hAnsi="Calibri" w:cs="Calibri"/>
          <w:i/>
          <w:sz w:val="24"/>
          <w:szCs w:val="24"/>
          <w:lang w:eastAsia="en-US"/>
        </w:rPr>
        <w:t>.</w:t>
      </w:r>
    </w:p>
    <w:p w:rsidR="00D529C5" w:rsidRPr="0011267F" w:rsidRDefault="00D529C5" w:rsidP="0011267F">
      <w:pPr>
        <w:spacing w:after="0" w:line="240" w:lineRule="auto"/>
        <w:jc w:val="both"/>
        <w:rPr>
          <w:rFonts w:hAnsi="Calibri" w:cs="Calibri"/>
          <w:sz w:val="24"/>
          <w:szCs w:val="24"/>
          <w:lang w:eastAsia="en-US"/>
        </w:rPr>
      </w:pPr>
    </w:p>
    <w:p w:rsidR="00D529C5" w:rsidRPr="0011267F" w:rsidRDefault="00D529C5" w:rsidP="0011267F">
      <w:pPr>
        <w:spacing w:after="0" w:line="240" w:lineRule="auto"/>
        <w:jc w:val="both"/>
        <w:rPr>
          <w:rFonts w:hAnsi="Calibri" w:cs="Calibri"/>
          <w:i/>
          <w:sz w:val="24"/>
          <w:szCs w:val="24"/>
          <w:lang w:eastAsia="en-US"/>
        </w:rPr>
      </w:pPr>
      <w:r>
        <w:rPr>
          <w:rFonts w:hAnsi="Calibri" w:cs="Calibri"/>
          <w:sz w:val="24"/>
          <w:szCs w:val="24"/>
          <w:lang w:eastAsia="en-US"/>
        </w:rPr>
        <w:t>Calificada</w:t>
      </w:r>
      <w:r w:rsidRPr="0011267F">
        <w:rPr>
          <w:rFonts w:hAnsi="Calibri" w:cs="Calibri"/>
          <w:sz w:val="24"/>
          <w:szCs w:val="24"/>
          <w:lang w:eastAsia="en-US"/>
        </w:rPr>
        <w:t xml:space="preserve"> doctrina señala que, </w:t>
      </w:r>
      <w:r w:rsidRPr="0011267F">
        <w:rPr>
          <w:rFonts w:hAnsi="Calibri" w:cs="Calibri"/>
          <w:i/>
          <w:sz w:val="24"/>
          <w:szCs w:val="24"/>
          <w:lang w:eastAsia="en-US"/>
        </w:rPr>
        <w:t>[e]l DR avanza ilegalmente sobre la ley del impuesto a las ganancias]</w:t>
      </w:r>
      <w:r w:rsidRPr="0011267F">
        <w:rPr>
          <w:rFonts w:hAnsi="Calibri" w:cs="Calibri"/>
          <w:i/>
          <w:sz w:val="24"/>
          <w:szCs w:val="24"/>
          <w:vertAlign w:val="superscript"/>
          <w:lang w:eastAsia="en-US"/>
        </w:rPr>
        <w:footnoteReference w:id="55"/>
      </w:r>
      <w:r w:rsidRPr="0011267F">
        <w:rPr>
          <w:rFonts w:hAnsi="Calibri" w:cs="Calibri"/>
          <w:i/>
          <w:sz w:val="24"/>
          <w:szCs w:val="24"/>
          <w:lang w:eastAsia="en-US"/>
        </w:rPr>
        <w:t xml:space="preserve">. </w:t>
      </w:r>
      <w:r w:rsidRPr="00B4424F">
        <w:rPr>
          <w:rFonts w:hAnsi="Calibri" w:cs="Calibri"/>
          <w:sz w:val="24"/>
          <w:szCs w:val="24"/>
          <w:lang w:eastAsia="en-US"/>
        </w:rPr>
        <w:t>En el mismo sentido, se expresa que</w:t>
      </w:r>
      <w:r w:rsidRPr="0011267F">
        <w:rPr>
          <w:rFonts w:hAnsi="Calibri" w:cs="Calibri"/>
          <w:i/>
          <w:sz w:val="24"/>
          <w:szCs w:val="24"/>
          <w:lang w:eastAsia="en-US"/>
        </w:rPr>
        <w:t xml:space="preserve"> [L]as disposiciones del decreto…distan en algunos casos de respetar el principio de legalidad y avanzan ilegítimamente sobre cuestiones que…exceden el marco reglamentario limitando exenciones…]</w:t>
      </w:r>
      <w:r w:rsidRPr="0011267F">
        <w:rPr>
          <w:rFonts w:hAnsi="Calibri" w:cs="Calibri"/>
          <w:i/>
          <w:sz w:val="24"/>
          <w:szCs w:val="24"/>
          <w:vertAlign w:val="superscript"/>
          <w:lang w:eastAsia="en-US"/>
        </w:rPr>
        <w:footnoteReference w:id="56"/>
      </w:r>
      <w:r w:rsidRPr="0011267F">
        <w:rPr>
          <w:rFonts w:hAnsi="Calibri" w:cs="Calibri"/>
          <w:i/>
          <w:sz w:val="24"/>
          <w:szCs w:val="24"/>
          <w:lang w:eastAsia="en-US"/>
        </w:rPr>
        <w:t>.</w:t>
      </w:r>
    </w:p>
    <w:p w:rsidR="00D529C5" w:rsidRPr="0011267F" w:rsidRDefault="00D529C5" w:rsidP="0011267F">
      <w:pPr>
        <w:spacing w:after="0" w:line="240" w:lineRule="auto"/>
        <w:jc w:val="both"/>
        <w:rPr>
          <w:rFonts w:hAnsi="Calibri" w:cs="Calibri"/>
          <w:i/>
          <w:sz w:val="24"/>
          <w:szCs w:val="24"/>
          <w:lang w:eastAsia="en-US"/>
        </w:rPr>
      </w:pPr>
    </w:p>
    <w:p w:rsidR="00D529C5" w:rsidRPr="0011267F" w:rsidRDefault="00D529C5" w:rsidP="0011267F">
      <w:pPr>
        <w:spacing w:after="0" w:line="240" w:lineRule="auto"/>
        <w:jc w:val="both"/>
        <w:rPr>
          <w:rFonts w:hAnsi="Calibri" w:cs="Calibri"/>
          <w:i/>
          <w:sz w:val="24"/>
          <w:szCs w:val="24"/>
          <w:lang w:eastAsia="en-US"/>
        </w:rPr>
      </w:pPr>
      <w:r w:rsidRPr="00B4424F">
        <w:rPr>
          <w:rFonts w:hAnsi="Calibri" w:cs="Calibri"/>
          <w:sz w:val="24"/>
          <w:szCs w:val="24"/>
          <w:lang w:eastAsia="en-US"/>
        </w:rPr>
        <w:t>A mayor abundamiento, se dice que, de acuerdo a la ley</w:t>
      </w:r>
      <w:r w:rsidRPr="0011267F">
        <w:rPr>
          <w:rFonts w:hAnsi="Calibri" w:cs="Calibri"/>
          <w:i/>
          <w:sz w:val="24"/>
          <w:szCs w:val="24"/>
          <w:lang w:eastAsia="en-US"/>
        </w:rPr>
        <w:t xml:space="preserve"> [S]olamente quedan exentas para personas físicas y sucesiones indivisas del país, las operaciones con títulos valores que se coloquen por oferta pública o tengan cotización en bolsas o mercados.</w:t>
      </w:r>
    </w:p>
    <w:p w:rsidR="00D529C5" w:rsidRDefault="00D529C5" w:rsidP="0011267F">
      <w:pPr>
        <w:spacing w:after="0" w:line="240" w:lineRule="auto"/>
        <w:jc w:val="both"/>
        <w:rPr>
          <w:rFonts w:hAnsi="Calibri" w:cs="Calibri"/>
          <w:i/>
          <w:sz w:val="24"/>
          <w:szCs w:val="24"/>
          <w:lang w:eastAsia="en-US"/>
        </w:rPr>
      </w:pPr>
      <w:r w:rsidRPr="0011267F">
        <w:rPr>
          <w:rFonts w:hAnsi="Calibri" w:cs="Calibri"/>
          <w:i/>
          <w:sz w:val="24"/>
          <w:szCs w:val="24"/>
          <w:lang w:eastAsia="en-US"/>
        </w:rPr>
        <w:t>Tengamos presente que la autorización de la Comisión Nacional de Valores (CN</w:t>
      </w:r>
      <w:r>
        <w:rPr>
          <w:rFonts w:hAnsi="Calibri" w:cs="Calibri"/>
          <w:i/>
          <w:sz w:val="24"/>
          <w:szCs w:val="24"/>
          <w:lang w:eastAsia="en-US"/>
        </w:rPr>
        <w:t>V</w:t>
      </w:r>
      <w:r w:rsidRPr="0011267F">
        <w:rPr>
          <w:rFonts w:hAnsi="Calibri" w:cs="Calibri"/>
          <w:i/>
          <w:sz w:val="24"/>
          <w:szCs w:val="24"/>
          <w:lang w:eastAsia="en-US"/>
        </w:rPr>
        <w:t>) permite la colocación en el país y en el exterior. Asimismo, la cotización en bolsas o mercados puede ser en el país o en el exterior.</w:t>
      </w:r>
    </w:p>
    <w:p w:rsidR="00D529C5" w:rsidRPr="0011267F" w:rsidRDefault="00D529C5" w:rsidP="0011267F">
      <w:pPr>
        <w:spacing w:after="0" w:line="240" w:lineRule="auto"/>
        <w:jc w:val="both"/>
        <w:rPr>
          <w:rFonts w:hAnsi="Calibri" w:cs="Calibri"/>
          <w:i/>
          <w:sz w:val="24"/>
          <w:szCs w:val="24"/>
          <w:lang w:eastAsia="en-US"/>
        </w:rPr>
      </w:pPr>
      <w:r w:rsidRPr="0011267F">
        <w:rPr>
          <w:rFonts w:hAnsi="Calibri" w:cs="Calibri"/>
          <w:i/>
          <w:sz w:val="24"/>
          <w:szCs w:val="24"/>
          <w:lang w:eastAsia="en-US"/>
        </w:rPr>
        <w:t xml:space="preserve">No obstante, el </w:t>
      </w:r>
      <w:r>
        <w:rPr>
          <w:rFonts w:hAnsi="Calibri" w:cs="Calibri"/>
          <w:i/>
          <w:sz w:val="24"/>
          <w:szCs w:val="24"/>
          <w:lang w:eastAsia="en-US"/>
        </w:rPr>
        <w:t>D</w:t>
      </w:r>
      <w:r w:rsidRPr="0011267F">
        <w:rPr>
          <w:rFonts w:hAnsi="Calibri" w:cs="Calibri"/>
          <w:i/>
          <w:sz w:val="24"/>
          <w:szCs w:val="24"/>
          <w:lang w:eastAsia="en-US"/>
        </w:rPr>
        <w:t>ecreto 2334/2013 establece un exceso reglamentario, pues la ley solamente dispone que la exención para los resultados por venta de títulos valores por personas físicas y sucesiones indivisas del país es válida en tanto los títulos coticen en bolsas o mercados, o tengan autorización de oferta pública. Es decir, solamente se pide la cotización o que se hayan colocado por oferta pública]</w:t>
      </w:r>
      <w:r w:rsidRPr="0011267F">
        <w:rPr>
          <w:rFonts w:hAnsi="Calibri" w:cs="Calibri"/>
          <w:i/>
          <w:sz w:val="24"/>
          <w:szCs w:val="24"/>
          <w:vertAlign w:val="superscript"/>
          <w:lang w:eastAsia="en-US"/>
        </w:rPr>
        <w:footnoteReference w:id="57"/>
      </w:r>
      <w:r w:rsidRPr="0011267F">
        <w:rPr>
          <w:rFonts w:hAnsi="Calibri" w:cs="Calibri"/>
          <w:i/>
          <w:sz w:val="24"/>
          <w:szCs w:val="24"/>
          <w:lang w:eastAsia="en-US"/>
        </w:rPr>
        <w:t>.</w:t>
      </w:r>
    </w:p>
    <w:p w:rsidR="00D529C5" w:rsidRPr="0011267F" w:rsidRDefault="00D529C5" w:rsidP="0011267F">
      <w:pPr>
        <w:spacing w:after="0" w:line="240" w:lineRule="auto"/>
        <w:jc w:val="both"/>
        <w:rPr>
          <w:rFonts w:hAnsi="Calibri" w:cs="Calibri"/>
          <w:i/>
          <w:sz w:val="24"/>
          <w:szCs w:val="24"/>
          <w:lang w:eastAsia="en-US"/>
        </w:rPr>
      </w:pPr>
    </w:p>
    <w:p w:rsidR="00D529C5" w:rsidRPr="0011267F" w:rsidRDefault="00D529C5" w:rsidP="0011267F">
      <w:pPr>
        <w:spacing w:after="0" w:line="240" w:lineRule="auto"/>
        <w:jc w:val="both"/>
        <w:rPr>
          <w:rFonts w:hAnsi="Calibri" w:cs="Calibri"/>
          <w:sz w:val="24"/>
          <w:szCs w:val="24"/>
          <w:lang w:eastAsia="en-US"/>
        </w:rPr>
      </w:pPr>
      <w:r w:rsidRPr="0011267F">
        <w:rPr>
          <w:rFonts w:hAnsi="Calibri" w:cs="Calibri"/>
          <w:sz w:val="24"/>
          <w:szCs w:val="24"/>
          <w:lang w:eastAsia="en-US"/>
        </w:rPr>
        <w:t>Como surge de la lectura del texto del Decreto, el mismo establece el requisito de que la enajenación de los valores deb</w:t>
      </w:r>
      <w:r>
        <w:rPr>
          <w:rFonts w:hAnsi="Calibri" w:cs="Calibri"/>
          <w:sz w:val="24"/>
          <w:szCs w:val="24"/>
          <w:lang w:eastAsia="en-US"/>
        </w:rPr>
        <w:t>a</w:t>
      </w:r>
      <w:r w:rsidRPr="0011267F">
        <w:rPr>
          <w:rFonts w:hAnsi="Calibri" w:cs="Calibri"/>
          <w:sz w:val="24"/>
          <w:szCs w:val="24"/>
          <w:lang w:eastAsia="en-US"/>
        </w:rPr>
        <w:t xml:space="preserve"> realizarse en las bolsas y mercados del país </w:t>
      </w:r>
      <w:r w:rsidRPr="0011267F">
        <w:rPr>
          <w:rFonts w:hAnsi="Calibri" w:cs="Calibri"/>
          <w:i/>
          <w:sz w:val="24"/>
          <w:szCs w:val="24"/>
          <w:lang w:eastAsia="en-US"/>
        </w:rPr>
        <w:t xml:space="preserve">autorizados por la COMISIÓN NACIONAL DE VALORES </w:t>
      </w:r>
      <w:r w:rsidRPr="0011267F">
        <w:rPr>
          <w:rFonts w:hAnsi="Calibri" w:cs="Calibri"/>
          <w:sz w:val="24"/>
          <w:szCs w:val="24"/>
          <w:lang w:eastAsia="en-US"/>
        </w:rPr>
        <w:t>para gozar de la exención.</w:t>
      </w:r>
      <w:bookmarkEnd w:id="33"/>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El Fisco tuvo oportunidad de expedirse respecto al resultado obtenido por personas humanas residentes en el país por la venta en el exterior de acciones de empresas constituidas en el </w:t>
      </w:r>
      <w:r>
        <w:rPr>
          <w:rFonts w:hAnsi="Calibri" w:cs="Calibri"/>
          <w:sz w:val="24"/>
          <w:szCs w:val="24"/>
        </w:rPr>
        <w:t>extranjero</w:t>
      </w:r>
      <w:r w:rsidRPr="0011267F">
        <w:rPr>
          <w:rFonts w:hAnsi="Calibri" w:cs="Calibri"/>
          <w:sz w:val="24"/>
          <w:szCs w:val="24"/>
        </w:rPr>
        <w:t xml:space="preserve"> que cotizan en Bolsas </w:t>
      </w:r>
      <w:r>
        <w:rPr>
          <w:rFonts w:hAnsi="Calibri" w:cs="Calibri"/>
          <w:sz w:val="24"/>
          <w:szCs w:val="24"/>
        </w:rPr>
        <w:t>de fuera del país</w:t>
      </w:r>
      <w:r w:rsidRPr="0011267F">
        <w:rPr>
          <w:rFonts w:hAnsi="Calibri" w:cs="Calibri"/>
          <w:sz w:val="24"/>
          <w:szCs w:val="24"/>
        </w:rPr>
        <w:t>. El Organismo señaló:</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i/>
          <w:sz w:val="24"/>
          <w:szCs w:val="24"/>
        </w:rPr>
        <w:t>[c)] Para el supuesto planteado, del análisis de los artículos 137 y 20 w) de la LIG, como así también del artículo 42 del DR, se concluye que el alcance de la exención se limita a los resultados provenientes de la enajenación de acciones, cuotas y participaciones sociales, títulos, bonos y demás títulos valores que se realice a través de bolsas o mercados de valores autorizados por la Comisión Nacional de Valores, obtenidos por personas físicas residentes y sucesiones indivisas radicadas en el país, siempre que esas operaciones no resulten atribuibles a empresas o explotaciones unipersonales comprendidas en los incisos b), c) y en el último párrafo del artículo 49 de la LIG. Ello pues la norma legal tiende a fomentar el mercado local de capitales. Consecuentemente, no se coincide con el criterio, tratándose de un resultado alcanzado por el impuesto]</w:t>
      </w:r>
      <w:r w:rsidRPr="0011267F">
        <w:rPr>
          <w:rStyle w:val="FootnoteReference"/>
          <w:rFonts w:hAnsi="Calibri" w:cs="Calibri"/>
          <w:sz w:val="24"/>
          <w:szCs w:val="24"/>
        </w:rPr>
        <w:footnoteReference w:id="58"/>
      </w:r>
      <w:r w:rsidRPr="0011267F">
        <w:rPr>
          <w:rStyle w:val="FootnoteReference"/>
          <w:rFonts w:hAnsi="Calibri" w:cs="Calibri"/>
          <w:sz w:val="24"/>
          <w:szCs w:val="24"/>
        </w:rPr>
        <w:footnoteReference w:id="59"/>
      </w:r>
      <w:r w:rsidRPr="0011267F">
        <w:rPr>
          <w:rFonts w:hAnsi="Calibri" w:cs="Calibri"/>
          <w:sz w:val="24"/>
          <w:szCs w:val="24"/>
        </w:rPr>
        <w:t>.</w:t>
      </w:r>
    </w:p>
    <w:p w:rsidR="00D529C5" w:rsidRPr="0011267F" w:rsidRDefault="00D529C5" w:rsidP="0009129E">
      <w:pPr>
        <w:spacing w:after="0" w:line="240" w:lineRule="auto"/>
        <w:jc w:val="both"/>
        <w:rPr>
          <w:rFonts w:hAnsi="Calibri" w:cs="Calibri"/>
          <w:sz w:val="24"/>
          <w:szCs w:val="24"/>
        </w:rPr>
      </w:pPr>
    </w:p>
    <w:p w:rsidR="00D529C5" w:rsidRPr="0011267F" w:rsidRDefault="00D529C5" w:rsidP="0009129E">
      <w:pPr>
        <w:spacing w:after="0" w:line="240" w:lineRule="auto"/>
        <w:jc w:val="both"/>
        <w:rPr>
          <w:rFonts w:hAnsi="Calibri" w:cs="Calibri"/>
          <w:sz w:val="24"/>
          <w:szCs w:val="24"/>
        </w:rPr>
      </w:pPr>
      <w:r w:rsidRPr="0011267F">
        <w:rPr>
          <w:rFonts w:hAnsi="Calibri" w:cs="Calibri"/>
          <w:sz w:val="24"/>
          <w:szCs w:val="24"/>
        </w:rPr>
        <w:t xml:space="preserve">Sin perjuicio de ello, es del caso mencionar sobre la existencia en el ámbito del Congreso de la Nación de un proyecto de Ley oportunamente remitido por el Poder Ejecutivo -a fin de modificar varias leyes vinculadas con el mercado de capitales, así como </w:t>
      </w:r>
      <w:r>
        <w:rPr>
          <w:rFonts w:hAnsi="Calibri" w:cs="Calibri"/>
          <w:sz w:val="24"/>
          <w:szCs w:val="24"/>
        </w:rPr>
        <w:t>para</w:t>
      </w:r>
      <w:r w:rsidRPr="0011267F">
        <w:rPr>
          <w:rFonts w:hAnsi="Calibri" w:cs="Calibri"/>
          <w:sz w:val="24"/>
          <w:szCs w:val="24"/>
        </w:rPr>
        <w:t xml:space="preserve"> adecua</w:t>
      </w:r>
      <w:r>
        <w:rPr>
          <w:rFonts w:hAnsi="Calibri" w:cs="Calibri"/>
          <w:sz w:val="24"/>
          <w:szCs w:val="24"/>
        </w:rPr>
        <w:t xml:space="preserve">r </w:t>
      </w:r>
      <w:r w:rsidRPr="0011267F">
        <w:rPr>
          <w:rFonts w:hAnsi="Calibri" w:cs="Calibri"/>
          <w:sz w:val="24"/>
          <w:szCs w:val="24"/>
        </w:rPr>
        <w:t>ciertas normas impositivas a fin de lograr un marco normativo financiero moderno y transparente que contribuya al desarrollo de la economía del país</w:t>
      </w:r>
      <w:r>
        <w:rPr>
          <w:rFonts w:hAnsi="Calibri" w:cs="Calibri"/>
          <w:sz w:val="24"/>
          <w:szCs w:val="24"/>
        </w:rPr>
        <w:t>-</w:t>
      </w:r>
      <w:r w:rsidRPr="0011267F">
        <w:rPr>
          <w:rStyle w:val="FootnoteReference"/>
          <w:rFonts w:hAnsi="Calibri" w:cs="Calibri"/>
          <w:sz w:val="24"/>
          <w:szCs w:val="24"/>
        </w:rPr>
        <w:footnoteReference w:id="60"/>
      </w:r>
      <w:r w:rsidRPr="0011267F">
        <w:rPr>
          <w:rFonts w:hAnsi="Calibri" w:cs="Calibri"/>
          <w:sz w:val="24"/>
          <w:szCs w:val="24"/>
        </w:rPr>
        <w:t xml:space="preserve">. Es así que, en la Nota de Envío se propone en cuanto a la compraventa de acciones que, </w:t>
      </w:r>
      <w:r w:rsidRPr="0011267F">
        <w:rPr>
          <w:rFonts w:hAnsi="Calibri" w:cs="Calibri"/>
          <w:i/>
          <w:sz w:val="24"/>
          <w:szCs w:val="24"/>
        </w:rPr>
        <w:t>[…] se grava la renta originada en la compraventa de acciones de personas humanas y sucesiones indivisas locales, pero beneficiando a aquellos accionistas de empresas que ofrezcan públicamente su capital en el mercado local y/o generen liquidez en el mismo, mediante operaciones de ventas de acciones de dichas empresas]</w:t>
      </w:r>
      <w:r w:rsidRPr="0011267F">
        <w:rPr>
          <w:rFonts w:hAnsi="Calibri" w:cs="Calibri"/>
          <w:sz w:val="24"/>
          <w:szCs w:val="24"/>
        </w:rPr>
        <w:t>. El mismo beneficio se establece para los beneficiarios del exterior bajo ciertas condiciones especificadas e</w:t>
      </w:r>
      <w:r>
        <w:rPr>
          <w:rFonts w:hAnsi="Calibri" w:cs="Calibri"/>
          <w:sz w:val="24"/>
          <w:szCs w:val="24"/>
        </w:rPr>
        <w:t>n el artículo 184 del Proyecto.</w:t>
      </w:r>
    </w:p>
    <w:p w:rsidR="00D529C5" w:rsidRPr="0011267F" w:rsidRDefault="00D529C5" w:rsidP="0009129E">
      <w:pPr>
        <w:spacing w:after="0" w:line="240" w:lineRule="auto"/>
        <w:jc w:val="both"/>
        <w:rPr>
          <w:rFonts w:hAnsi="Calibri" w:cs="Calibri"/>
          <w:sz w:val="24"/>
          <w:szCs w:val="24"/>
        </w:rPr>
      </w:pPr>
    </w:p>
    <w:p w:rsidR="00D529C5" w:rsidRDefault="00D529C5" w:rsidP="0047046B">
      <w:pPr>
        <w:spacing w:after="0" w:line="240" w:lineRule="auto"/>
        <w:jc w:val="both"/>
        <w:rPr>
          <w:rFonts w:hAnsi="Calibri" w:cs="Calibri"/>
          <w:sz w:val="24"/>
          <w:szCs w:val="24"/>
        </w:rPr>
      </w:pPr>
      <w:r w:rsidRPr="0011267F">
        <w:rPr>
          <w:rFonts w:hAnsi="Calibri" w:cs="Calibri"/>
          <w:sz w:val="24"/>
          <w:szCs w:val="24"/>
        </w:rPr>
        <w:t>Por lo expuesto, si la propuesta se convirtiera en ley, reafirmaría el propósito de beneficiar fiscalmente a la compraventa de acciones que se perfeccione a través del mercado local; tesitura que ya se enc</w:t>
      </w:r>
      <w:r>
        <w:rPr>
          <w:rFonts w:hAnsi="Calibri" w:cs="Calibri"/>
          <w:sz w:val="24"/>
          <w:szCs w:val="24"/>
        </w:rPr>
        <w:t>uentra</w:t>
      </w:r>
      <w:r w:rsidRPr="0011267F">
        <w:rPr>
          <w:rFonts w:hAnsi="Calibri" w:cs="Calibri"/>
          <w:sz w:val="24"/>
          <w:szCs w:val="24"/>
        </w:rPr>
        <w:t xml:space="preserve"> plasmada en el Decreto Reglamentario de la </w:t>
      </w:r>
      <w:r>
        <w:rPr>
          <w:rFonts w:hAnsi="Calibri" w:cs="Calibri"/>
          <w:sz w:val="24"/>
          <w:szCs w:val="24"/>
        </w:rPr>
        <w:t>l</w:t>
      </w:r>
      <w:r w:rsidRPr="0011267F">
        <w:rPr>
          <w:rFonts w:hAnsi="Calibri" w:cs="Calibri"/>
          <w:sz w:val="24"/>
          <w:szCs w:val="24"/>
        </w:rPr>
        <w:t xml:space="preserve">ey del gravamen. </w:t>
      </w:r>
      <w:r>
        <w:rPr>
          <w:rFonts w:hAnsi="Calibri" w:cs="Calibri"/>
          <w:sz w:val="24"/>
          <w:szCs w:val="24"/>
        </w:rPr>
        <w:t>Vale señalar que, en el Proyecto s</w:t>
      </w:r>
      <w:r w:rsidRPr="0011267F">
        <w:rPr>
          <w:rFonts w:hAnsi="Calibri" w:cs="Calibri"/>
          <w:sz w:val="24"/>
          <w:szCs w:val="24"/>
        </w:rPr>
        <w:t>e extiende ese tratamiento exentivo -de cumplirse ciertos requisitos- a los beneficiarios del exterior</w:t>
      </w:r>
      <w:r>
        <w:rPr>
          <w:rFonts w:hAnsi="Calibri" w:cs="Calibri"/>
          <w:sz w:val="24"/>
          <w:szCs w:val="24"/>
        </w:rPr>
        <w:t>.</w:t>
      </w:r>
    </w:p>
    <w:p w:rsidR="00D529C5" w:rsidRPr="00FB2DEE" w:rsidRDefault="00D529C5" w:rsidP="0011267F">
      <w:pPr>
        <w:spacing w:after="0" w:line="240" w:lineRule="auto"/>
        <w:jc w:val="both"/>
        <w:rPr>
          <w:rFonts w:hAnsi="Calibri" w:cs="Calibri"/>
          <w:sz w:val="24"/>
          <w:szCs w:val="24"/>
        </w:rPr>
      </w:pPr>
    </w:p>
    <w:p w:rsidR="00D529C5" w:rsidRPr="00EE580B" w:rsidRDefault="00D529C5" w:rsidP="00B609F0">
      <w:pPr>
        <w:pStyle w:val="Heading2"/>
        <w:numPr>
          <w:ilvl w:val="1"/>
          <w:numId w:val="39"/>
        </w:numPr>
      </w:pPr>
      <w:bookmarkStart w:id="35" w:name="_Toc491335386"/>
      <w:bookmarkStart w:id="36" w:name="_Toc492313329"/>
      <w:r w:rsidRPr="00EE580B">
        <w:t>A través de una sociedad anónima extranjera que no se encuentra radicada en una jurisdicción no cooperante</w:t>
      </w:r>
      <w:bookmarkEnd w:id="35"/>
      <w:bookmarkEnd w:id="36"/>
    </w:p>
    <w:p w:rsidR="00D529C5" w:rsidRPr="00BD3E3B" w:rsidRDefault="00D529C5" w:rsidP="00BD3E3B">
      <w:pPr>
        <w:pStyle w:val="Heading3"/>
        <w:rPr>
          <w:rFonts w:ascii="Calibri" w:hAnsi="Calibri" w:cs="Calibri"/>
          <w:color w:val="000000"/>
          <w:sz w:val="24"/>
          <w:szCs w:val="24"/>
        </w:rPr>
      </w:pPr>
    </w:p>
    <w:p w:rsidR="00D529C5" w:rsidRPr="00BD3E3B" w:rsidRDefault="00D529C5" w:rsidP="00B609F0">
      <w:pPr>
        <w:pStyle w:val="Heading3"/>
        <w:numPr>
          <w:ilvl w:val="2"/>
          <w:numId w:val="39"/>
        </w:numPr>
        <w:rPr>
          <w:rFonts w:ascii="Calibri" w:hAnsi="Calibri" w:cs="Calibri"/>
          <w:color w:val="000000"/>
          <w:sz w:val="24"/>
          <w:szCs w:val="24"/>
        </w:rPr>
      </w:pPr>
      <w:bookmarkStart w:id="37" w:name="_Toc491335387"/>
      <w:bookmarkStart w:id="38" w:name="_Toc492313330"/>
      <w:r w:rsidRPr="00BD3E3B">
        <w:rPr>
          <w:rFonts w:ascii="Calibri" w:hAnsi="Calibri" w:cs="Calibri"/>
          <w:color w:val="000000"/>
          <w:sz w:val="24"/>
          <w:szCs w:val="24"/>
        </w:rPr>
        <w:t>Dividendos en efectivo</w:t>
      </w:r>
      <w:bookmarkEnd w:id="37"/>
      <w:bookmarkEnd w:id="38"/>
    </w:p>
    <w:p w:rsidR="00D529C5" w:rsidRPr="0011267F" w:rsidRDefault="00D529C5" w:rsidP="008C215A">
      <w:pPr>
        <w:spacing w:after="0" w:line="240" w:lineRule="auto"/>
        <w:jc w:val="both"/>
        <w:rPr>
          <w:rFonts w:hAnsi="Calibri" w:cs="Calibri"/>
          <w:b/>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Los dividendos que provienen de la sociedad extranjera se consideran alcanzados por el gravamen, así lo prevé</w:t>
      </w:r>
      <w:r>
        <w:rPr>
          <w:rFonts w:hAnsi="Calibri" w:cs="Calibri"/>
          <w:sz w:val="24"/>
          <w:szCs w:val="24"/>
        </w:rPr>
        <w:t>n</w:t>
      </w:r>
      <w:r w:rsidRPr="0011267F">
        <w:rPr>
          <w:rFonts w:hAnsi="Calibri" w:cs="Calibri"/>
          <w:sz w:val="24"/>
          <w:szCs w:val="24"/>
        </w:rPr>
        <w:t xml:space="preserve"> las normas referidas a la segunda categoría de rentas de fuente extranjera, al incorporar en esta categoría a </w:t>
      </w:r>
      <w:r w:rsidRPr="006A17A0">
        <w:rPr>
          <w:rFonts w:hAnsi="Calibri" w:cs="Calibri"/>
          <w:i/>
          <w:sz w:val="24"/>
          <w:szCs w:val="24"/>
        </w:rPr>
        <w:t>[</w:t>
      </w:r>
      <w:r w:rsidRPr="0011267F">
        <w:rPr>
          <w:rFonts w:hAnsi="Calibri" w:cs="Calibri"/>
          <w:i/>
          <w:sz w:val="24"/>
          <w:szCs w:val="24"/>
        </w:rPr>
        <w:t>a)] Los dividendos distribuidos por sociedades por acciones constituidas en el exterior, sin que resulte aplicable a su respecto lo dispuesto en el primer párrafo del artículo 46]</w:t>
      </w:r>
      <w:r w:rsidRPr="0011267F">
        <w:rPr>
          <w:rStyle w:val="FootnoteReference"/>
          <w:rFonts w:hAnsi="Calibri" w:cs="Calibri"/>
          <w:sz w:val="24"/>
          <w:szCs w:val="24"/>
        </w:rPr>
        <w:footnoteReference w:id="61"/>
      </w:r>
      <w:r>
        <w:rPr>
          <w:rFonts w:hAnsi="Calibri" w:cs="Calibri"/>
          <w:i/>
          <w:sz w:val="24"/>
          <w:szCs w:val="24"/>
        </w:rPr>
        <w:t>.</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 xml:space="preserve">En cuanto a la imputación de los dividendos, corresponderá hacerlo siguiendo las pautas del artículo 18 de la ley por remisión a éste por el artículo 133 que señala que, </w:t>
      </w:r>
      <w:r w:rsidRPr="0011267F">
        <w:rPr>
          <w:rFonts w:hAnsi="Calibri" w:cs="Calibri"/>
          <w:i/>
          <w:sz w:val="24"/>
          <w:szCs w:val="24"/>
        </w:rPr>
        <w:t>[L]a imputación de ganancias y gastos comprendidos en este Título, se efectuará de acuerdo con las disposiciones contenidas en el artículo 18 que les resulten aplicables …]</w:t>
      </w:r>
      <w:r w:rsidRPr="0011267F">
        <w:rPr>
          <w:rStyle w:val="FootnoteReference"/>
          <w:rFonts w:hAnsi="Calibri" w:cs="Calibri"/>
          <w:sz w:val="24"/>
          <w:szCs w:val="24"/>
        </w:rPr>
        <w:footnoteReference w:id="62"/>
      </w:r>
      <w:r w:rsidRPr="0011267F">
        <w:rPr>
          <w:rFonts w:hAnsi="Calibri" w:cs="Calibri"/>
          <w:sz w:val="24"/>
          <w:szCs w:val="24"/>
        </w:rPr>
        <w:t xml:space="preserve">. La parte pertinente del artículo citado en primer término estipula que, </w:t>
      </w:r>
      <w:r w:rsidRPr="0011267F">
        <w:rPr>
          <w:rFonts w:hAnsi="Calibri" w:cs="Calibri"/>
          <w:i/>
          <w:sz w:val="24"/>
          <w:szCs w:val="24"/>
        </w:rPr>
        <w:t>[…] Los dividendos de acciones y los intereses de títulos, bonos y demás títulos valores se imputarán en el ejercicio en que hayan sido puestos a disposición]</w:t>
      </w:r>
      <w:r w:rsidRPr="0011267F">
        <w:rPr>
          <w:rStyle w:val="FootnoteReference"/>
          <w:rFonts w:hAnsi="Calibri" w:cs="Calibri"/>
          <w:sz w:val="24"/>
          <w:szCs w:val="24"/>
        </w:rPr>
        <w:footnoteReference w:id="63"/>
      </w:r>
      <w:r w:rsidRPr="0011267F">
        <w:rPr>
          <w:rFonts w:hAnsi="Calibri" w:cs="Calibri"/>
          <w:sz w:val="24"/>
          <w:szCs w:val="24"/>
        </w:rPr>
        <w:t>.</w:t>
      </w:r>
    </w:p>
    <w:p w:rsidR="00D529C5" w:rsidRPr="0011267F" w:rsidRDefault="00D529C5" w:rsidP="008C215A">
      <w:pPr>
        <w:spacing w:after="0" w:line="240" w:lineRule="auto"/>
        <w:jc w:val="both"/>
        <w:rPr>
          <w:rFonts w:hAnsi="Calibri" w:cs="Calibri"/>
          <w:b/>
          <w:sz w:val="24"/>
          <w:szCs w:val="24"/>
        </w:rPr>
      </w:pPr>
    </w:p>
    <w:p w:rsidR="00D529C5" w:rsidRPr="00BD3E3B" w:rsidRDefault="00D529C5" w:rsidP="00B609F0">
      <w:pPr>
        <w:pStyle w:val="Heading3"/>
        <w:numPr>
          <w:ilvl w:val="2"/>
          <w:numId w:val="39"/>
        </w:numPr>
        <w:rPr>
          <w:rFonts w:ascii="Calibri" w:hAnsi="Calibri" w:cs="Calibri"/>
          <w:color w:val="000000"/>
          <w:sz w:val="24"/>
          <w:szCs w:val="24"/>
        </w:rPr>
      </w:pPr>
      <w:bookmarkStart w:id="39" w:name="_Toc491335388"/>
      <w:bookmarkStart w:id="40" w:name="_Toc492313331"/>
      <w:r w:rsidRPr="00BD3E3B">
        <w:rPr>
          <w:rFonts w:ascii="Calibri" w:hAnsi="Calibri" w:cs="Calibri"/>
          <w:color w:val="000000"/>
          <w:sz w:val="24"/>
          <w:szCs w:val="24"/>
        </w:rPr>
        <w:t>Dividendos en acciones</w:t>
      </w:r>
      <w:bookmarkEnd w:id="39"/>
      <w:bookmarkEnd w:id="40"/>
    </w:p>
    <w:p w:rsidR="00D529C5" w:rsidRPr="0011267F" w:rsidRDefault="00D529C5" w:rsidP="008C215A">
      <w:pPr>
        <w:spacing w:after="0" w:line="240" w:lineRule="auto"/>
        <w:jc w:val="both"/>
        <w:rPr>
          <w:rFonts w:hAnsi="Calibri" w:cs="Calibri"/>
          <w:b/>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Todo dividendo distribuido por una sociedad por acciones del exterior, sea en dinero, en especie o en acciones liberadas queda sujeto al gravamen, sin importar los fondos empresarios en los que se origine. Solo quedan exceptuados del gravamen los dividendos en acciones que tengan su origen en revalú</w:t>
      </w:r>
      <w:r>
        <w:rPr>
          <w:rFonts w:hAnsi="Calibri" w:cs="Calibri"/>
          <w:sz w:val="24"/>
          <w:szCs w:val="24"/>
        </w:rPr>
        <w:t>o</w:t>
      </w:r>
      <w:r w:rsidRPr="0011267F">
        <w:rPr>
          <w:rFonts w:hAnsi="Calibri" w:cs="Calibri"/>
          <w:sz w:val="24"/>
          <w:szCs w:val="24"/>
        </w:rPr>
        <w:t>s o ajustes contables que no se originen en utilidades líquidas y realizadas</w:t>
      </w:r>
      <w:r w:rsidRPr="0011267F">
        <w:rPr>
          <w:rStyle w:val="FootnoteReference"/>
          <w:rFonts w:hAnsi="Calibri" w:cs="Calibri"/>
          <w:sz w:val="24"/>
          <w:szCs w:val="24"/>
        </w:rPr>
        <w:footnoteReference w:id="64"/>
      </w:r>
      <w:r w:rsidRPr="0011267F">
        <w:rPr>
          <w:rFonts w:hAnsi="Calibri" w:cs="Calibri"/>
          <w:sz w:val="24"/>
          <w:szCs w:val="24"/>
        </w:rPr>
        <w:t>.</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A los efectos señalados, se establecen reglas particulares de cómputo: las acciones liberadas a su valor nominal y las especies recibidas a valor corriente en la plaza en la que se encuentren situados los bienes al momento de su distribución</w:t>
      </w:r>
      <w:r w:rsidRPr="0011267F">
        <w:rPr>
          <w:rStyle w:val="FootnoteReference"/>
          <w:rFonts w:hAnsi="Calibri" w:cs="Calibri"/>
          <w:sz w:val="24"/>
          <w:szCs w:val="24"/>
        </w:rPr>
        <w:footnoteReference w:id="65"/>
      </w:r>
      <w:r>
        <w:rPr>
          <w:rFonts w:hAnsi="Calibri" w:cs="Calibri"/>
          <w:sz w:val="24"/>
          <w:szCs w:val="24"/>
        </w:rPr>
        <w:t>.</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De lo expuesto, surge con claridad que el legislador asume con la gravabilidad de las acciones que la asamblea de accionistas decidió distribuir utilidades acumuladas y éstos optaron por reinvertirlos en la propia sociedad. En realidad, no solamente nos encontraríamos ante una operación permutativa, sino que</w:t>
      </w:r>
      <w:r>
        <w:rPr>
          <w:rFonts w:hAnsi="Calibri" w:cs="Calibri"/>
          <w:sz w:val="24"/>
          <w:szCs w:val="24"/>
        </w:rPr>
        <w:t>,</w:t>
      </w:r>
      <w:r w:rsidRPr="0011267F">
        <w:rPr>
          <w:rFonts w:hAnsi="Calibri" w:cs="Calibri"/>
          <w:sz w:val="24"/>
          <w:szCs w:val="24"/>
        </w:rPr>
        <w:t xml:space="preserve"> se habría producido una transferencia real de fondos a favor del accionista. También la norma podría tener un objetivo de sortear situaciones cuyo objetivo fuera evitar el impuesto. En particular</w:t>
      </w:r>
      <w:r>
        <w:rPr>
          <w:rFonts w:hAnsi="Calibri" w:cs="Calibri"/>
          <w:sz w:val="24"/>
          <w:szCs w:val="24"/>
        </w:rPr>
        <w:t>, en el supuesto que pudiera</w:t>
      </w:r>
      <w:r w:rsidRPr="0011267F">
        <w:rPr>
          <w:rFonts w:hAnsi="Calibri" w:cs="Calibri"/>
          <w:sz w:val="24"/>
          <w:szCs w:val="24"/>
        </w:rPr>
        <w:t xml:space="preserve"> producirse el desmembramiento de la distribución de dividendos en dos etapas</w:t>
      </w:r>
      <w:r w:rsidRPr="0011267F">
        <w:rPr>
          <w:rStyle w:val="FootnoteReference"/>
          <w:rFonts w:hAnsi="Calibri" w:cs="Calibri"/>
          <w:sz w:val="24"/>
          <w:szCs w:val="24"/>
        </w:rPr>
        <w:footnoteReference w:id="66"/>
      </w:r>
      <w:r>
        <w:rPr>
          <w:rFonts w:hAnsi="Calibri" w:cs="Calibri"/>
          <w:sz w:val="24"/>
          <w:szCs w:val="24"/>
        </w:rPr>
        <w:t>:</w:t>
      </w:r>
    </w:p>
    <w:p w:rsidR="00D529C5" w:rsidRPr="0011267F" w:rsidRDefault="00D529C5" w:rsidP="008C215A">
      <w:pPr>
        <w:spacing w:after="0" w:line="240" w:lineRule="auto"/>
        <w:jc w:val="both"/>
        <w:rPr>
          <w:rFonts w:hAnsi="Calibri" w:cs="Calibri"/>
          <w:sz w:val="24"/>
          <w:szCs w:val="24"/>
        </w:rPr>
      </w:pPr>
    </w:p>
    <w:p w:rsidR="00D529C5" w:rsidRPr="0011267F" w:rsidRDefault="00D529C5" w:rsidP="006A5E89">
      <w:pPr>
        <w:pStyle w:val="ListParagraph"/>
        <w:numPr>
          <w:ilvl w:val="0"/>
          <w:numId w:val="11"/>
        </w:numPr>
        <w:spacing w:after="0" w:line="240" w:lineRule="auto"/>
        <w:ind w:left="0" w:firstLine="0"/>
        <w:jc w:val="both"/>
        <w:rPr>
          <w:rFonts w:hAnsi="Calibri" w:cs="Calibri"/>
          <w:sz w:val="24"/>
          <w:szCs w:val="24"/>
        </w:rPr>
      </w:pPr>
      <w:r>
        <w:rPr>
          <w:rFonts w:hAnsi="Calibri" w:cs="Calibri"/>
          <w:sz w:val="24"/>
          <w:szCs w:val="24"/>
        </w:rPr>
        <w:t>c</w:t>
      </w:r>
      <w:r w:rsidRPr="0011267F">
        <w:rPr>
          <w:rFonts w:hAnsi="Calibri" w:cs="Calibri"/>
          <w:sz w:val="24"/>
          <w:szCs w:val="24"/>
        </w:rPr>
        <w:t>apitaliza</w:t>
      </w:r>
      <w:r>
        <w:rPr>
          <w:rFonts w:hAnsi="Calibri" w:cs="Calibri"/>
          <w:sz w:val="24"/>
          <w:szCs w:val="24"/>
        </w:rPr>
        <w:t>ción de</w:t>
      </w:r>
      <w:r w:rsidRPr="0011267F">
        <w:rPr>
          <w:rFonts w:hAnsi="Calibri" w:cs="Calibri"/>
          <w:sz w:val="24"/>
          <w:szCs w:val="24"/>
        </w:rPr>
        <w:t xml:space="preserve"> los resultados acumulados y entrega</w:t>
      </w:r>
      <w:r>
        <w:rPr>
          <w:rFonts w:hAnsi="Calibri" w:cs="Calibri"/>
          <w:sz w:val="24"/>
          <w:szCs w:val="24"/>
        </w:rPr>
        <w:t xml:space="preserve"> de</w:t>
      </w:r>
      <w:r w:rsidRPr="0011267F">
        <w:rPr>
          <w:rFonts w:hAnsi="Calibri" w:cs="Calibri"/>
          <w:sz w:val="24"/>
          <w:szCs w:val="24"/>
        </w:rPr>
        <w:t xml:space="preserve"> acciones liberadas, y </w:t>
      </w:r>
    </w:p>
    <w:p w:rsidR="00D529C5" w:rsidRPr="00EE580B" w:rsidRDefault="00D529C5" w:rsidP="00EE580B">
      <w:pPr>
        <w:pStyle w:val="ListParagraph"/>
        <w:numPr>
          <w:ilvl w:val="0"/>
          <w:numId w:val="11"/>
        </w:numPr>
        <w:spacing w:after="0" w:line="240" w:lineRule="auto"/>
        <w:ind w:left="0" w:firstLine="0"/>
        <w:jc w:val="both"/>
        <w:rPr>
          <w:rFonts w:hAnsi="Calibri" w:cs="Calibri"/>
          <w:sz w:val="24"/>
          <w:szCs w:val="24"/>
        </w:rPr>
      </w:pPr>
      <w:r w:rsidRPr="0011267F">
        <w:rPr>
          <w:rFonts w:hAnsi="Calibri" w:cs="Calibri"/>
          <w:sz w:val="24"/>
          <w:szCs w:val="24"/>
        </w:rPr>
        <w:t>al poco tiempo, rescat</w:t>
      </w:r>
      <w:r>
        <w:rPr>
          <w:rFonts w:hAnsi="Calibri" w:cs="Calibri"/>
          <w:sz w:val="24"/>
          <w:szCs w:val="24"/>
        </w:rPr>
        <w:t>e de</w:t>
      </w:r>
      <w:r w:rsidRPr="0011267F">
        <w:rPr>
          <w:rFonts w:hAnsi="Calibri" w:cs="Calibri"/>
          <w:sz w:val="24"/>
          <w:szCs w:val="24"/>
        </w:rPr>
        <w:t xml:space="preserve"> las acciones.</w:t>
      </w:r>
    </w:p>
    <w:p w:rsidR="00D529C5" w:rsidRPr="00EE580B" w:rsidRDefault="00D529C5" w:rsidP="00B609F0">
      <w:pPr>
        <w:pStyle w:val="Heading2"/>
        <w:numPr>
          <w:ilvl w:val="1"/>
          <w:numId w:val="39"/>
        </w:numPr>
      </w:pPr>
      <w:bookmarkStart w:id="41" w:name="_Toc491335389"/>
      <w:bookmarkStart w:id="42" w:name="_Toc492313332"/>
      <w:r w:rsidRPr="00EE580B">
        <w:t xml:space="preserve">A través de una sociedad </w:t>
      </w:r>
      <w:r>
        <w:t>extranjera que no sea por acciones</w:t>
      </w:r>
      <w:bookmarkEnd w:id="41"/>
      <w:bookmarkEnd w:id="42"/>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El resultado impositivo de la sociedad se determina según la legislación impositiva análoga a nuestro impuesto a las ganancias que rija en el país de constitución o ubicación de la sociedad</w:t>
      </w:r>
      <w:r w:rsidRPr="0011267F">
        <w:rPr>
          <w:rStyle w:val="FootnoteReference"/>
          <w:rFonts w:hAnsi="Calibri" w:cs="Calibri"/>
          <w:sz w:val="24"/>
          <w:szCs w:val="24"/>
        </w:rPr>
        <w:footnoteReference w:id="67"/>
      </w:r>
      <w:r w:rsidRPr="0011267F">
        <w:rPr>
          <w:rFonts w:hAnsi="Calibri" w:cs="Calibri"/>
          <w:sz w:val="24"/>
          <w:szCs w:val="24"/>
        </w:rPr>
        <w:t>; si este gravamen no fuera aplicable en dicho país, entonces se deberá tomar el resultado contable de la sociedad</w:t>
      </w:r>
      <w:r w:rsidRPr="0011267F">
        <w:rPr>
          <w:rStyle w:val="FootnoteReference"/>
          <w:rFonts w:hAnsi="Calibri" w:cs="Calibri"/>
          <w:sz w:val="24"/>
          <w:szCs w:val="24"/>
        </w:rPr>
        <w:footnoteReference w:id="68"/>
      </w:r>
      <w:r w:rsidRPr="0011267F">
        <w:rPr>
          <w:rFonts w:hAnsi="Calibri" w:cs="Calibri"/>
          <w:sz w:val="24"/>
          <w:szCs w:val="24"/>
        </w:rPr>
        <w:t>.</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 xml:space="preserve">Una vez que el resultado impositivo de la sociedad fue determinado, los socios residentes en el país se atribuirán la proporción que les corresponda en dicho resultado; aun cuando los beneficios </w:t>
      </w:r>
      <w:r>
        <w:rPr>
          <w:rFonts w:hAnsi="Calibri" w:cs="Calibri"/>
          <w:sz w:val="24"/>
          <w:szCs w:val="24"/>
        </w:rPr>
        <w:t xml:space="preserve">no </w:t>
      </w:r>
      <w:r w:rsidRPr="0011267F">
        <w:rPr>
          <w:rFonts w:hAnsi="Calibri" w:cs="Calibri"/>
          <w:sz w:val="24"/>
          <w:szCs w:val="24"/>
        </w:rPr>
        <w:t>les hubieran sido distribuidos o acreditados en sus cuentas particulares</w:t>
      </w:r>
      <w:r w:rsidRPr="0011267F">
        <w:rPr>
          <w:rStyle w:val="FootnoteReference"/>
          <w:rFonts w:hAnsi="Calibri" w:cs="Calibri"/>
          <w:sz w:val="24"/>
          <w:szCs w:val="24"/>
        </w:rPr>
        <w:footnoteReference w:id="69"/>
      </w:r>
      <w:r w:rsidRPr="0011267F">
        <w:rPr>
          <w:rFonts w:hAnsi="Calibri" w:cs="Calibri"/>
          <w:sz w:val="24"/>
          <w:szCs w:val="24"/>
        </w:rPr>
        <w:t xml:space="preserve">. Si </w:t>
      </w:r>
      <w:r>
        <w:rPr>
          <w:rFonts w:hAnsi="Calibri" w:cs="Calibri"/>
          <w:sz w:val="24"/>
          <w:szCs w:val="24"/>
        </w:rPr>
        <w:t xml:space="preserve">se </w:t>
      </w:r>
      <w:r w:rsidRPr="0011267F">
        <w:rPr>
          <w:rFonts w:hAnsi="Calibri" w:cs="Calibri"/>
          <w:sz w:val="24"/>
          <w:szCs w:val="24"/>
        </w:rPr>
        <w:t>hubieren efectuado retiros bajo cualquier concepto a cuenta de utilidades del ejercicio fiscal o contable, esos importes deberán incrementar la participación del socio</w:t>
      </w:r>
      <w:r w:rsidRPr="0011267F">
        <w:rPr>
          <w:rStyle w:val="FootnoteReference"/>
          <w:rFonts w:hAnsi="Calibri" w:cs="Calibri"/>
          <w:sz w:val="24"/>
          <w:szCs w:val="24"/>
        </w:rPr>
        <w:footnoteReference w:id="70"/>
      </w:r>
      <w:r w:rsidRPr="0011267F">
        <w:rPr>
          <w:rFonts w:hAnsi="Calibri" w:cs="Calibri"/>
          <w:sz w:val="24"/>
          <w:szCs w:val="24"/>
        </w:rPr>
        <w:t xml:space="preserve">. </w:t>
      </w:r>
      <w:r>
        <w:rPr>
          <w:rFonts w:hAnsi="Calibri" w:cs="Calibri"/>
          <w:sz w:val="24"/>
          <w:szCs w:val="24"/>
        </w:rPr>
        <w:t xml:space="preserve">Estamos en presencia de vehículos en los que el contribuyente, generalmente posee incidencia directa en la toma de decisiones empresariales y en escenarios en los que, puede no haberse determinado un resultado a los efectos fiscales pero puede haberse presentado un resultado contable, que puede encontrarse disponible para retiros que impactarán en la cuenta particular del socio; por lo expuesto, el legislador previó que más allá de la decisión formal de los socios de distribuir utilidades, los retiros a cuenta de ellas debían incorporarse a la determinación tributaria del residente fiscal de nuestro país. </w:t>
      </w:r>
    </w:p>
    <w:p w:rsidR="00D529C5" w:rsidRPr="0011267F" w:rsidRDefault="00D529C5" w:rsidP="008C215A">
      <w:pPr>
        <w:spacing w:after="0" w:line="240" w:lineRule="auto"/>
        <w:contextualSpacing/>
        <w:jc w:val="both"/>
        <w:rPr>
          <w:rFonts w:hAnsi="Calibri" w:cs="Calibri"/>
          <w:color w:val="000000"/>
          <w:kern w:val="24"/>
          <w:sz w:val="24"/>
          <w:szCs w:val="24"/>
        </w:rPr>
      </w:pPr>
    </w:p>
    <w:p w:rsidR="00D529C5" w:rsidRDefault="00D529C5" w:rsidP="008C215A">
      <w:pPr>
        <w:spacing w:after="0" w:line="240" w:lineRule="auto"/>
        <w:contextualSpacing/>
        <w:jc w:val="both"/>
        <w:rPr>
          <w:rFonts w:hAnsi="Calibri" w:cs="Calibri"/>
          <w:color w:val="000000"/>
          <w:kern w:val="24"/>
          <w:sz w:val="24"/>
          <w:szCs w:val="24"/>
        </w:rPr>
      </w:pPr>
      <w:r>
        <w:rPr>
          <w:rFonts w:hAnsi="Calibri" w:cs="Calibri"/>
          <w:color w:val="000000"/>
          <w:kern w:val="24"/>
          <w:sz w:val="24"/>
          <w:szCs w:val="24"/>
        </w:rPr>
        <w:t xml:space="preserve">El </w:t>
      </w:r>
      <w:r w:rsidRPr="0011267F">
        <w:rPr>
          <w:rFonts w:hAnsi="Calibri" w:cs="Calibri"/>
          <w:color w:val="000000"/>
          <w:kern w:val="24"/>
          <w:sz w:val="24"/>
          <w:szCs w:val="24"/>
        </w:rPr>
        <w:t xml:space="preserve">resultado </w:t>
      </w:r>
      <w:r>
        <w:rPr>
          <w:rFonts w:hAnsi="Calibri" w:cs="Calibri"/>
          <w:color w:val="000000"/>
          <w:kern w:val="24"/>
          <w:sz w:val="24"/>
          <w:szCs w:val="24"/>
        </w:rPr>
        <w:t>impositivo o contable de corresponder deberá incluir las ganancias de fuente argentina -a diferencia de lo que ocurre en el caso de los establecimientos estables del exterior- supuesto en los que se las excluye.</w:t>
      </w:r>
    </w:p>
    <w:p w:rsidR="00D529C5" w:rsidRPr="0011267F" w:rsidRDefault="00D529C5" w:rsidP="008C215A">
      <w:pPr>
        <w:spacing w:after="0" w:line="240" w:lineRule="auto"/>
        <w:jc w:val="both"/>
        <w:rPr>
          <w:rFonts w:hAnsi="Calibri" w:cs="Calibri"/>
          <w:sz w:val="24"/>
          <w:szCs w:val="24"/>
        </w:rPr>
      </w:pPr>
    </w:p>
    <w:p w:rsidR="00D529C5" w:rsidRDefault="00D529C5" w:rsidP="008C215A">
      <w:pPr>
        <w:spacing w:after="0" w:line="240" w:lineRule="auto"/>
        <w:jc w:val="both"/>
        <w:rPr>
          <w:rFonts w:hAnsi="Calibri" w:cs="Calibri"/>
          <w:sz w:val="24"/>
          <w:szCs w:val="24"/>
        </w:rPr>
      </w:pPr>
      <w:r w:rsidRPr="0011267F">
        <w:rPr>
          <w:rFonts w:hAnsi="Calibri" w:cs="Calibri"/>
          <w:sz w:val="24"/>
          <w:szCs w:val="24"/>
        </w:rPr>
        <w:t>Por su parte, la imputación de las ganancias obtenidas se realizará</w:t>
      </w:r>
      <w:r w:rsidRPr="0011267F">
        <w:rPr>
          <w:rStyle w:val="FootnoteReference"/>
          <w:rFonts w:hAnsi="Calibri" w:cs="Calibri"/>
          <w:sz w:val="24"/>
          <w:szCs w:val="24"/>
        </w:rPr>
        <w:footnoteReference w:id="71"/>
      </w:r>
      <w:r w:rsidRPr="0011267F">
        <w:rPr>
          <w:rFonts w:hAnsi="Calibri" w:cs="Calibri"/>
          <w:sz w:val="24"/>
          <w:szCs w:val="24"/>
        </w:rPr>
        <w:t>, en el caso de:</w:t>
      </w:r>
    </w:p>
    <w:p w:rsidR="00D529C5" w:rsidRPr="0011267F" w:rsidRDefault="00D529C5" w:rsidP="008C215A">
      <w:pPr>
        <w:spacing w:after="0" w:line="240" w:lineRule="auto"/>
        <w:jc w:val="both"/>
        <w:rPr>
          <w:rFonts w:hAnsi="Calibri" w:cs="Calibri"/>
          <w:sz w:val="24"/>
          <w:szCs w:val="24"/>
        </w:rPr>
      </w:pPr>
    </w:p>
    <w:p w:rsidR="00D529C5" w:rsidRPr="006A5E89" w:rsidRDefault="00D529C5" w:rsidP="006A5E89">
      <w:pPr>
        <w:pStyle w:val="ListParagraph"/>
        <w:numPr>
          <w:ilvl w:val="0"/>
          <w:numId w:val="13"/>
        </w:numPr>
        <w:spacing w:after="0" w:line="240" w:lineRule="auto"/>
        <w:ind w:left="0" w:firstLine="0"/>
        <w:jc w:val="both"/>
        <w:rPr>
          <w:rFonts w:hAnsi="Calibri" w:cs="Calibri"/>
          <w:sz w:val="24"/>
          <w:szCs w:val="24"/>
        </w:rPr>
      </w:pPr>
      <w:r w:rsidRPr="0011267F">
        <w:rPr>
          <w:rFonts w:hAnsi="Calibri" w:cs="Calibri"/>
          <w:sz w:val="24"/>
          <w:szCs w:val="24"/>
        </w:rPr>
        <w:t>personas físicas o sucesiones indivisas residentes: en el año fiscal en el que finalice el ejercicio de la sociedad del exterior,</w:t>
      </w:r>
    </w:p>
    <w:p w:rsidR="00D529C5" w:rsidRPr="0011267F" w:rsidRDefault="00D529C5" w:rsidP="006A5E89">
      <w:pPr>
        <w:pStyle w:val="ListParagraph"/>
        <w:numPr>
          <w:ilvl w:val="0"/>
          <w:numId w:val="13"/>
        </w:numPr>
        <w:spacing w:after="0" w:line="240" w:lineRule="auto"/>
        <w:ind w:left="0" w:firstLine="0"/>
        <w:jc w:val="both"/>
        <w:rPr>
          <w:rFonts w:hAnsi="Calibri" w:cs="Calibri"/>
          <w:sz w:val="24"/>
          <w:szCs w:val="24"/>
        </w:rPr>
      </w:pPr>
      <w:r w:rsidRPr="0011267F">
        <w:rPr>
          <w:rFonts w:hAnsi="Calibri" w:cs="Calibri"/>
          <w:sz w:val="24"/>
          <w:szCs w:val="24"/>
        </w:rPr>
        <w:t xml:space="preserve">resto de socios: en el ejercicio anual del residente en el que finalice el ejercicio de la sociedad del exterior. </w:t>
      </w:r>
    </w:p>
    <w:p w:rsidR="00D529C5" w:rsidRDefault="00D529C5" w:rsidP="006A5E89">
      <w:pPr>
        <w:pStyle w:val="ListParagraph"/>
        <w:spacing w:after="0" w:line="240" w:lineRule="auto"/>
        <w:ind w:left="0"/>
        <w:jc w:val="both"/>
        <w:rPr>
          <w:rFonts w:hAnsi="Calibri" w:cs="Calibri"/>
          <w:sz w:val="24"/>
          <w:szCs w:val="24"/>
        </w:rPr>
      </w:pPr>
    </w:p>
    <w:p w:rsidR="00D529C5" w:rsidRPr="0011267F" w:rsidRDefault="00D529C5" w:rsidP="001909D4">
      <w:pPr>
        <w:spacing w:after="0" w:line="240" w:lineRule="auto"/>
        <w:contextualSpacing/>
        <w:jc w:val="both"/>
        <w:rPr>
          <w:rFonts w:hAnsi="Calibri" w:cs="Calibri"/>
          <w:sz w:val="24"/>
          <w:szCs w:val="24"/>
        </w:rPr>
      </w:pPr>
      <w:r w:rsidRPr="0011267F">
        <w:rPr>
          <w:rFonts w:hAnsi="Calibri" w:cs="Calibri"/>
          <w:color w:val="000000"/>
          <w:kern w:val="24"/>
          <w:sz w:val="24"/>
          <w:szCs w:val="24"/>
        </w:rPr>
        <w:t xml:space="preserve">Las diferencias de cambio originadas como consecuencia de la posterior distribución de beneficios deben ser computadas por los socios residentes en el país </w:t>
      </w:r>
      <w:r>
        <w:rPr>
          <w:rFonts w:hAnsi="Calibri" w:cs="Calibri"/>
          <w:color w:val="000000"/>
          <w:kern w:val="24"/>
          <w:sz w:val="24"/>
          <w:szCs w:val="24"/>
        </w:rPr>
        <w:t>–en el caso de s</w:t>
      </w:r>
      <w:r w:rsidRPr="0011267F">
        <w:rPr>
          <w:rFonts w:hAnsi="Calibri" w:cs="Calibri"/>
          <w:color w:val="000000"/>
          <w:kern w:val="24"/>
          <w:sz w:val="24"/>
          <w:szCs w:val="24"/>
        </w:rPr>
        <w:t>ujetos empresa</w:t>
      </w:r>
      <w:r>
        <w:rPr>
          <w:rFonts w:hAnsi="Calibri" w:cs="Calibri"/>
          <w:color w:val="000000"/>
          <w:kern w:val="24"/>
          <w:sz w:val="24"/>
          <w:szCs w:val="24"/>
        </w:rPr>
        <w:t>-</w:t>
      </w:r>
      <w:r w:rsidRPr="0011267F">
        <w:rPr>
          <w:rFonts w:hAnsi="Calibri" w:cs="Calibri"/>
          <w:color w:val="000000"/>
          <w:kern w:val="24"/>
          <w:sz w:val="24"/>
          <w:szCs w:val="24"/>
        </w:rPr>
        <w:t xml:space="preserve"> a los efectos de establecer su resultado impositivo de fuente extranjera</w:t>
      </w:r>
      <w:r w:rsidRPr="0011267F">
        <w:rPr>
          <w:rStyle w:val="FootnoteReference"/>
          <w:rFonts w:hAnsi="Calibri" w:cs="Calibri"/>
          <w:color w:val="000000"/>
          <w:kern w:val="24"/>
          <w:sz w:val="24"/>
          <w:szCs w:val="24"/>
        </w:rPr>
        <w:footnoteReference w:id="72"/>
      </w:r>
      <w:r w:rsidRPr="0011267F">
        <w:rPr>
          <w:rFonts w:hAnsi="Calibri" w:cs="Calibri"/>
          <w:color w:val="000000"/>
          <w:kern w:val="24"/>
          <w:sz w:val="24"/>
          <w:szCs w:val="24"/>
        </w:rPr>
        <w:t xml:space="preserve">. </w:t>
      </w:r>
    </w:p>
    <w:p w:rsidR="00D529C5" w:rsidRDefault="00D529C5" w:rsidP="006A5E89">
      <w:pPr>
        <w:pStyle w:val="ListParagraph"/>
        <w:spacing w:after="0" w:line="240" w:lineRule="auto"/>
        <w:ind w:left="0"/>
        <w:jc w:val="both"/>
        <w:rPr>
          <w:rFonts w:hAnsi="Calibri" w:cs="Calibri"/>
          <w:sz w:val="24"/>
          <w:szCs w:val="24"/>
        </w:rPr>
      </w:pPr>
    </w:p>
    <w:p w:rsidR="00D529C5" w:rsidRDefault="00D529C5" w:rsidP="006A5E89">
      <w:pPr>
        <w:pStyle w:val="ListParagraph"/>
        <w:spacing w:after="0" w:line="240" w:lineRule="auto"/>
        <w:ind w:left="0"/>
        <w:jc w:val="both"/>
        <w:rPr>
          <w:rFonts w:hAnsi="Calibri" w:cs="Calibri"/>
          <w:sz w:val="24"/>
          <w:szCs w:val="24"/>
        </w:rPr>
      </w:pPr>
      <w:r>
        <w:rPr>
          <w:rFonts w:hAnsi="Calibri" w:cs="Calibri"/>
          <w:sz w:val="24"/>
          <w:szCs w:val="24"/>
        </w:rPr>
        <w:t xml:space="preserve">Por su parte, la atribución de resultados según lo prevé el artículo 150 de la ley del gravamen, no regirá para los quebrantos de fuente extranjera originados en la enajenación de acciones, participaciones sociales o cuotas parte de fondos comunes de inversión o figuras equivalentes, los que se compensarán contra ganancias de la misma naturaleza del mismo período o de los cinco subsiguientes, según lo dispuesto en el artículo 135 de la norma del tributo. </w:t>
      </w:r>
    </w:p>
    <w:p w:rsidR="00D529C5" w:rsidRPr="0011267F" w:rsidRDefault="00D529C5" w:rsidP="006A5E89">
      <w:pPr>
        <w:pStyle w:val="ListParagraph"/>
        <w:spacing w:after="0" w:line="240" w:lineRule="auto"/>
        <w:ind w:left="0"/>
        <w:jc w:val="both"/>
        <w:rPr>
          <w:rFonts w:hAnsi="Calibri" w:cs="Calibri"/>
          <w:sz w:val="24"/>
          <w:szCs w:val="24"/>
        </w:rPr>
      </w:pPr>
    </w:p>
    <w:p w:rsidR="00D529C5" w:rsidRDefault="00D529C5" w:rsidP="008C215A">
      <w:pPr>
        <w:spacing w:after="0" w:line="240" w:lineRule="auto"/>
        <w:jc w:val="both"/>
        <w:rPr>
          <w:rFonts w:hAnsi="Calibri" w:cs="Calibri"/>
          <w:sz w:val="24"/>
          <w:szCs w:val="24"/>
        </w:rPr>
      </w:pPr>
      <w:r w:rsidRPr="0011267F">
        <w:rPr>
          <w:rFonts w:hAnsi="Calibri" w:cs="Calibri"/>
          <w:sz w:val="24"/>
          <w:szCs w:val="24"/>
        </w:rPr>
        <w:t>Desventajas del tipo societario:</w:t>
      </w:r>
    </w:p>
    <w:p w:rsidR="00D529C5" w:rsidRPr="0011267F" w:rsidRDefault="00D529C5" w:rsidP="008C215A">
      <w:pPr>
        <w:spacing w:after="0" w:line="240" w:lineRule="auto"/>
        <w:jc w:val="both"/>
        <w:rPr>
          <w:rFonts w:hAnsi="Calibri" w:cs="Calibri"/>
          <w:sz w:val="24"/>
          <w:szCs w:val="24"/>
        </w:rPr>
      </w:pPr>
    </w:p>
    <w:p w:rsidR="00D529C5" w:rsidRPr="0011267F" w:rsidRDefault="00D529C5" w:rsidP="006A5E89">
      <w:pPr>
        <w:pStyle w:val="ListParagraph"/>
        <w:numPr>
          <w:ilvl w:val="0"/>
          <w:numId w:val="13"/>
        </w:numPr>
        <w:spacing w:after="0" w:line="240" w:lineRule="auto"/>
        <w:ind w:left="0" w:firstLine="0"/>
        <w:jc w:val="both"/>
        <w:rPr>
          <w:rFonts w:hAnsi="Calibri" w:cs="Calibri"/>
          <w:sz w:val="24"/>
          <w:szCs w:val="24"/>
        </w:rPr>
      </w:pPr>
      <w:r w:rsidRPr="0011267F">
        <w:rPr>
          <w:rFonts w:hAnsi="Calibri" w:cs="Calibri"/>
          <w:sz w:val="24"/>
          <w:szCs w:val="24"/>
        </w:rPr>
        <w:t xml:space="preserve">en relación a las sociedades por acciones extranjeras: imputabilidad de los resultados adelantada ya que, como se mencionara, la imputación en el caso de las sociedades por acciones se produce al distribuirse los dividendos. Usualmente, para contrarrestar esta desventaja se interpone una sociedad en una jurisdicción cooperante, vrg. British Virgin Islands. </w:t>
      </w:r>
    </w:p>
    <w:p w:rsidR="00D529C5" w:rsidRPr="0011267F" w:rsidRDefault="00D529C5" w:rsidP="008C215A">
      <w:pPr>
        <w:spacing w:after="0" w:line="240" w:lineRule="auto"/>
        <w:jc w:val="both"/>
        <w:rPr>
          <w:rFonts w:hAnsi="Calibri" w:cs="Calibri"/>
          <w:sz w:val="24"/>
          <w:szCs w:val="24"/>
        </w:rPr>
      </w:pPr>
    </w:p>
    <w:p w:rsidR="00D529C5" w:rsidRDefault="00D529C5" w:rsidP="008C215A">
      <w:pPr>
        <w:spacing w:after="0" w:line="240" w:lineRule="auto"/>
        <w:jc w:val="both"/>
        <w:rPr>
          <w:rFonts w:hAnsi="Calibri" w:cs="Calibri"/>
          <w:sz w:val="24"/>
          <w:szCs w:val="24"/>
        </w:rPr>
      </w:pPr>
      <w:r w:rsidRPr="0011267F">
        <w:rPr>
          <w:rFonts w:hAnsi="Calibri" w:cs="Calibri"/>
          <w:sz w:val="24"/>
          <w:szCs w:val="24"/>
        </w:rPr>
        <w:t xml:space="preserve">Ventajas del tipo societario: </w:t>
      </w:r>
    </w:p>
    <w:p w:rsidR="00D529C5" w:rsidRPr="0011267F" w:rsidRDefault="00D529C5" w:rsidP="006A5E89">
      <w:pPr>
        <w:pStyle w:val="ListParagraph"/>
        <w:spacing w:after="0" w:line="240" w:lineRule="auto"/>
        <w:ind w:left="0"/>
        <w:jc w:val="both"/>
        <w:rPr>
          <w:rFonts w:hAnsi="Calibri" w:cs="Calibri"/>
          <w:sz w:val="24"/>
          <w:szCs w:val="24"/>
        </w:rPr>
      </w:pPr>
    </w:p>
    <w:p w:rsidR="00D529C5" w:rsidRPr="0011267F" w:rsidRDefault="00D529C5" w:rsidP="006A5E89">
      <w:pPr>
        <w:pStyle w:val="ListParagraph"/>
        <w:numPr>
          <w:ilvl w:val="0"/>
          <w:numId w:val="13"/>
        </w:numPr>
        <w:spacing w:after="0" w:line="240" w:lineRule="auto"/>
        <w:ind w:left="0" w:firstLine="0"/>
        <w:jc w:val="both"/>
        <w:rPr>
          <w:rFonts w:hAnsi="Calibri" w:cs="Calibri"/>
          <w:sz w:val="24"/>
          <w:szCs w:val="24"/>
        </w:rPr>
      </w:pPr>
      <w:r>
        <w:rPr>
          <w:rFonts w:hAnsi="Calibri" w:cs="Calibri"/>
          <w:sz w:val="24"/>
          <w:szCs w:val="24"/>
        </w:rPr>
        <w:t>que, l</w:t>
      </w:r>
      <w:r w:rsidRPr="0011267F">
        <w:rPr>
          <w:rFonts w:hAnsi="Calibri" w:cs="Calibri"/>
          <w:sz w:val="24"/>
          <w:szCs w:val="24"/>
        </w:rPr>
        <w:t>a jurisdicción extranjera carezca de legislación impositiva análoga a la nuestra, entonces se recurre a la normativa contable</w:t>
      </w:r>
      <w:r>
        <w:rPr>
          <w:rFonts w:hAnsi="Calibri" w:cs="Calibri"/>
          <w:sz w:val="24"/>
          <w:szCs w:val="24"/>
        </w:rPr>
        <w:t>,</w:t>
      </w:r>
    </w:p>
    <w:p w:rsidR="00D529C5" w:rsidRPr="0011267F" w:rsidRDefault="00D529C5" w:rsidP="006A5E89">
      <w:pPr>
        <w:pStyle w:val="ListParagraph"/>
        <w:numPr>
          <w:ilvl w:val="0"/>
          <w:numId w:val="13"/>
        </w:numPr>
        <w:spacing w:after="0" w:line="240" w:lineRule="auto"/>
        <w:ind w:left="0" w:firstLine="0"/>
        <w:jc w:val="both"/>
        <w:rPr>
          <w:rFonts w:hAnsi="Calibri" w:cs="Calibri"/>
          <w:sz w:val="24"/>
          <w:szCs w:val="24"/>
        </w:rPr>
      </w:pPr>
      <w:r>
        <w:rPr>
          <w:rFonts w:hAnsi="Calibri" w:cs="Calibri"/>
          <w:sz w:val="24"/>
          <w:szCs w:val="24"/>
        </w:rPr>
        <w:t>que, l</w:t>
      </w:r>
      <w:r w:rsidRPr="0011267F">
        <w:rPr>
          <w:rFonts w:hAnsi="Calibri" w:cs="Calibri"/>
          <w:sz w:val="24"/>
          <w:szCs w:val="24"/>
        </w:rPr>
        <w:t xml:space="preserve">a jurisdicción </w:t>
      </w:r>
      <w:r>
        <w:rPr>
          <w:rFonts w:hAnsi="Calibri" w:cs="Calibri"/>
          <w:sz w:val="24"/>
          <w:szCs w:val="24"/>
        </w:rPr>
        <w:t>tenga</w:t>
      </w:r>
      <w:r w:rsidRPr="0011267F">
        <w:rPr>
          <w:rFonts w:hAnsi="Calibri" w:cs="Calibri"/>
          <w:sz w:val="24"/>
          <w:szCs w:val="24"/>
        </w:rPr>
        <w:t xml:space="preserve"> una tasa efectiva de imposición realmente baja, dado que, si bien existe un impuesto a la renta, los ingresos gravables son neutralizados por detracciones a la base gravable como deducciones o exenciones.</w:t>
      </w:r>
    </w:p>
    <w:p w:rsidR="00D529C5" w:rsidRDefault="00D529C5" w:rsidP="008C215A">
      <w:pPr>
        <w:spacing w:after="0" w:line="240" w:lineRule="auto"/>
        <w:jc w:val="both"/>
        <w:rPr>
          <w:rFonts w:hAnsi="Calibri" w:cs="Calibri"/>
          <w:sz w:val="24"/>
          <w:szCs w:val="24"/>
        </w:rPr>
      </w:pPr>
    </w:p>
    <w:p w:rsidR="00D529C5" w:rsidRPr="00EE580B" w:rsidRDefault="00D529C5" w:rsidP="00B609F0">
      <w:pPr>
        <w:pStyle w:val="Heading2"/>
        <w:numPr>
          <w:ilvl w:val="1"/>
          <w:numId w:val="39"/>
        </w:numPr>
      </w:pPr>
      <w:bookmarkStart w:id="43" w:name="_Toc491335390"/>
      <w:bookmarkStart w:id="44" w:name="_Toc492313333"/>
      <w:r w:rsidRPr="00EE580B">
        <w:t>A través de un establecimiento permanente</w:t>
      </w:r>
      <w:bookmarkEnd w:id="43"/>
      <w:bookmarkEnd w:id="44"/>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 xml:space="preserve">Son establecimientos estables los organizados en forma de empresa estable para el desarrollo de actividades comerciales, industriales, agropecuarias, extractivas o de cualquier otro tipo, que originen para sus titulares residentes en el país ganancias de la tercera categoría. Las construcciones y montajes cuya ejecución en el exterior demande más de 6 meses y loteos con fines de urbanización en países extranjeros se encontrarán también comprendidos en la definición </w:t>
      </w:r>
      <w:r w:rsidRPr="0011267F">
        <w:rPr>
          <w:rStyle w:val="FootnoteReference"/>
          <w:rFonts w:hAnsi="Calibri" w:cs="Calibri"/>
          <w:sz w:val="24"/>
          <w:szCs w:val="24"/>
        </w:rPr>
        <w:footnoteReference w:id="73"/>
      </w:r>
      <w:r w:rsidRPr="0011267F">
        <w:rPr>
          <w:rFonts w:hAnsi="Calibri" w:cs="Calibri"/>
          <w:sz w:val="24"/>
          <w:szCs w:val="24"/>
        </w:rPr>
        <w:t>.</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A diferencia de lo que ocurre con la estructura descripta en el apartado precedente el resultado impositivo se determinará según las normas del impuesto a las ganancias argentino -ante la ausencia de una disposición específica que establezca la aplicación de determinadas normas en particular-.</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La determinación del resultado impositivo se hará en la moneda del país en el que se encuentren instalados y dichos resultados se convertirán a moneda argentina al tipo de cambio comprador -en caso de beneficio- o vendedor -en caso de pérdida-, conforme a la cotización del Banco de la Nación Argentina al cierre del día de cierre del ejercicio anual del establecimiento</w:t>
      </w:r>
      <w:r w:rsidRPr="0011267F">
        <w:rPr>
          <w:rStyle w:val="FootnoteReference"/>
          <w:rFonts w:hAnsi="Calibri" w:cs="Calibri"/>
          <w:sz w:val="24"/>
          <w:szCs w:val="24"/>
        </w:rPr>
        <w:footnoteReference w:id="74"/>
      </w:r>
      <w:r w:rsidRPr="0011267F">
        <w:rPr>
          <w:rFonts w:hAnsi="Calibri" w:cs="Calibri"/>
          <w:sz w:val="24"/>
          <w:szCs w:val="24"/>
        </w:rPr>
        <w:t>. E</w:t>
      </w:r>
      <w:r>
        <w:rPr>
          <w:rFonts w:hAnsi="Calibri" w:cs="Calibri"/>
          <w:sz w:val="24"/>
          <w:szCs w:val="24"/>
        </w:rPr>
        <w:t>s</w:t>
      </w:r>
      <w:r w:rsidRPr="0011267F">
        <w:rPr>
          <w:rFonts w:hAnsi="Calibri" w:cs="Calibri"/>
          <w:sz w:val="24"/>
          <w:szCs w:val="24"/>
        </w:rPr>
        <w:t xml:space="preserve"> decir</w:t>
      </w:r>
      <w:r>
        <w:rPr>
          <w:rFonts w:hAnsi="Calibri" w:cs="Calibri"/>
          <w:sz w:val="24"/>
          <w:szCs w:val="24"/>
        </w:rPr>
        <w:t>,</w:t>
      </w:r>
      <w:r w:rsidRPr="0011267F">
        <w:rPr>
          <w:rFonts w:hAnsi="Calibri" w:cs="Calibri"/>
          <w:sz w:val="24"/>
          <w:szCs w:val="24"/>
        </w:rPr>
        <w:t xml:space="preserve"> se sigue el esquema </w:t>
      </w:r>
      <w:r>
        <w:rPr>
          <w:rFonts w:hAnsi="Calibri" w:cs="Calibri"/>
          <w:sz w:val="24"/>
          <w:szCs w:val="24"/>
        </w:rPr>
        <w:t>de acumulación, conversión.</w:t>
      </w:r>
    </w:p>
    <w:p w:rsidR="00D529C5" w:rsidRPr="0011267F" w:rsidRDefault="00D529C5" w:rsidP="008C215A">
      <w:pPr>
        <w:spacing w:after="0" w:line="240" w:lineRule="auto"/>
        <w:jc w:val="both"/>
        <w:rPr>
          <w:rFonts w:hAnsi="Calibri" w:cs="Calibri"/>
          <w:sz w:val="24"/>
          <w:szCs w:val="24"/>
        </w:rPr>
      </w:pPr>
    </w:p>
    <w:p w:rsidR="00D529C5" w:rsidRDefault="00D529C5" w:rsidP="008C215A">
      <w:pPr>
        <w:spacing w:after="0" w:line="240" w:lineRule="auto"/>
        <w:jc w:val="both"/>
        <w:rPr>
          <w:rFonts w:hAnsi="Calibri" w:cs="Calibri"/>
          <w:sz w:val="24"/>
          <w:szCs w:val="24"/>
        </w:rPr>
      </w:pPr>
      <w:r w:rsidRPr="0011267F">
        <w:rPr>
          <w:rFonts w:hAnsi="Calibri" w:cs="Calibri"/>
          <w:sz w:val="24"/>
          <w:szCs w:val="24"/>
        </w:rPr>
        <w:t>Por su parte, la imputación de los resultados impositivos de los establecimientos estables</w:t>
      </w:r>
      <w:r w:rsidRPr="0011267F">
        <w:rPr>
          <w:rStyle w:val="FootnoteReference"/>
          <w:rFonts w:hAnsi="Calibri" w:cs="Calibri"/>
          <w:sz w:val="24"/>
          <w:szCs w:val="24"/>
        </w:rPr>
        <w:footnoteReference w:id="75"/>
      </w:r>
      <w:r w:rsidRPr="0011267F">
        <w:rPr>
          <w:rFonts w:hAnsi="Calibri" w:cs="Calibri"/>
          <w:sz w:val="24"/>
          <w:szCs w:val="24"/>
        </w:rPr>
        <w:t>, se hará en el caso de:</w:t>
      </w:r>
    </w:p>
    <w:p w:rsidR="00D529C5" w:rsidRPr="0011267F" w:rsidRDefault="00D529C5" w:rsidP="008C215A">
      <w:pPr>
        <w:spacing w:after="0" w:line="240" w:lineRule="auto"/>
        <w:jc w:val="both"/>
        <w:rPr>
          <w:rFonts w:hAnsi="Calibri" w:cs="Calibri"/>
          <w:sz w:val="24"/>
          <w:szCs w:val="24"/>
        </w:rPr>
      </w:pPr>
    </w:p>
    <w:p w:rsidR="00D529C5" w:rsidRPr="0011267F" w:rsidRDefault="00D529C5" w:rsidP="006A5E89">
      <w:pPr>
        <w:pStyle w:val="ListParagraph"/>
        <w:numPr>
          <w:ilvl w:val="0"/>
          <w:numId w:val="13"/>
        </w:numPr>
        <w:spacing w:after="0" w:line="240" w:lineRule="auto"/>
        <w:ind w:left="0" w:firstLine="0"/>
        <w:jc w:val="both"/>
        <w:rPr>
          <w:rFonts w:hAnsi="Calibri" w:cs="Calibri"/>
          <w:sz w:val="24"/>
          <w:szCs w:val="24"/>
        </w:rPr>
      </w:pPr>
      <w:r w:rsidRPr="0011267F">
        <w:rPr>
          <w:rFonts w:hAnsi="Calibri" w:cs="Calibri"/>
          <w:sz w:val="24"/>
          <w:szCs w:val="24"/>
        </w:rPr>
        <w:t>personas físicas o sucesiones indivisas residentes: en el año fiscal en el que finalice el ejercicio anual del establecimiento estable del exterior,</w:t>
      </w:r>
    </w:p>
    <w:p w:rsidR="00D529C5" w:rsidRPr="0011267F" w:rsidRDefault="00D529C5" w:rsidP="006A5E89">
      <w:pPr>
        <w:pStyle w:val="ListParagraph"/>
        <w:numPr>
          <w:ilvl w:val="0"/>
          <w:numId w:val="13"/>
        </w:numPr>
        <w:spacing w:after="0" w:line="240" w:lineRule="auto"/>
        <w:ind w:left="0" w:firstLine="0"/>
        <w:jc w:val="both"/>
        <w:rPr>
          <w:rFonts w:hAnsi="Calibri" w:cs="Calibri"/>
          <w:sz w:val="24"/>
          <w:szCs w:val="24"/>
        </w:rPr>
      </w:pPr>
      <w:r w:rsidRPr="0011267F">
        <w:rPr>
          <w:rFonts w:hAnsi="Calibri" w:cs="Calibri"/>
          <w:sz w:val="24"/>
          <w:szCs w:val="24"/>
        </w:rPr>
        <w:t xml:space="preserve">sujetos del inciso d) y e): en el ejercicio anual del residente en el que finalice el ejercicio anual del establecimiento estable del exterior. </w:t>
      </w:r>
    </w:p>
    <w:p w:rsidR="00D529C5" w:rsidRPr="0011267F" w:rsidRDefault="00D529C5" w:rsidP="008C215A">
      <w:pPr>
        <w:spacing w:after="0" w:line="240" w:lineRule="auto"/>
        <w:jc w:val="both"/>
        <w:rPr>
          <w:rFonts w:hAnsi="Calibri" w:cs="Calibri"/>
          <w:sz w:val="24"/>
          <w:szCs w:val="24"/>
        </w:rPr>
      </w:pPr>
    </w:p>
    <w:p w:rsidR="00D529C5" w:rsidRDefault="00D529C5" w:rsidP="008C215A">
      <w:pPr>
        <w:spacing w:after="0" w:line="240" w:lineRule="auto"/>
        <w:jc w:val="both"/>
        <w:rPr>
          <w:rFonts w:hAnsi="Calibri" w:cs="Calibri"/>
          <w:sz w:val="24"/>
          <w:szCs w:val="24"/>
        </w:rPr>
      </w:pPr>
      <w:r w:rsidRPr="0011267F">
        <w:rPr>
          <w:rFonts w:hAnsi="Calibri" w:cs="Calibri"/>
          <w:sz w:val="24"/>
          <w:szCs w:val="24"/>
        </w:rPr>
        <w:t>Ventajas de utilizar esta figura:</w:t>
      </w:r>
    </w:p>
    <w:p w:rsidR="00D529C5" w:rsidRPr="0011267F" w:rsidRDefault="00D529C5" w:rsidP="008C215A">
      <w:pPr>
        <w:spacing w:after="0" w:line="240" w:lineRule="auto"/>
        <w:jc w:val="both"/>
        <w:rPr>
          <w:rFonts w:hAnsi="Calibri" w:cs="Calibri"/>
          <w:sz w:val="24"/>
          <w:szCs w:val="24"/>
        </w:rPr>
      </w:pPr>
    </w:p>
    <w:p w:rsidR="00D529C5" w:rsidRDefault="00D529C5" w:rsidP="006A5E89">
      <w:pPr>
        <w:pStyle w:val="ListParagraph"/>
        <w:numPr>
          <w:ilvl w:val="0"/>
          <w:numId w:val="13"/>
        </w:numPr>
        <w:spacing w:after="0" w:line="240" w:lineRule="auto"/>
        <w:ind w:left="0" w:firstLine="0"/>
        <w:jc w:val="both"/>
        <w:rPr>
          <w:rFonts w:hAnsi="Calibri" w:cs="Calibri"/>
          <w:sz w:val="24"/>
          <w:szCs w:val="24"/>
        </w:rPr>
      </w:pPr>
      <w:r w:rsidRPr="0011267F">
        <w:rPr>
          <w:rFonts w:hAnsi="Calibri" w:cs="Calibri"/>
          <w:sz w:val="24"/>
          <w:szCs w:val="24"/>
        </w:rPr>
        <w:t>Exclusión de las rentas de fuente argentina y de sus respectivos gastos</w:t>
      </w:r>
      <w:r w:rsidRPr="001F0605">
        <w:rPr>
          <w:rFonts w:hAnsi="Calibri"/>
          <w:vertAlign w:val="superscript"/>
        </w:rPr>
        <w:footnoteReference w:id="76"/>
      </w:r>
      <w:r w:rsidRPr="0011267F">
        <w:rPr>
          <w:rFonts w:hAnsi="Calibri" w:cs="Calibri"/>
          <w:sz w:val="24"/>
          <w:szCs w:val="24"/>
        </w:rPr>
        <w:t>. Las fuentes de este origen tributan a través de retención en la fuente. Puede resultar favorable para cierto tipo de inversiones. Por ejemplo, la compra de títulos valores representativos de deuda emitidos por un fideicomiso que los haya colocado por oferta pública</w:t>
      </w:r>
      <w:r w:rsidRPr="001F0605">
        <w:rPr>
          <w:rFonts w:hAnsi="Calibri"/>
          <w:vertAlign w:val="superscript"/>
        </w:rPr>
        <w:footnoteReference w:id="77"/>
      </w:r>
      <w:r w:rsidRPr="0011267F">
        <w:rPr>
          <w:rFonts w:hAnsi="Calibri" w:cs="Calibri"/>
          <w:sz w:val="24"/>
          <w:szCs w:val="24"/>
        </w:rPr>
        <w:t>. Los intereses se encuentran exentos del impuesto a las ganancias, incluso para los beneficiarios del exterior, no constituyendo para éstos transferencia de ingresos a fiscos extranjeros en los términos del artículo 21 de la</w:t>
      </w:r>
      <w:r>
        <w:rPr>
          <w:rFonts w:hAnsi="Calibri" w:cs="Calibri"/>
          <w:sz w:val="24"/>
          <w:szCs w:val="24"/>
        </w:rPr>
        <w:t xml:space="preserve"> ley </w:t>
      </w:r>
      <w:r w:rsidRPr="0011267F">
        <w:rPr>
          <w:rFonts w:hAnsi="Calibri" w:cs="Calibri"/>
          <w:sz w:val="24"/>
          <w:szCs w:val="24"/>
        </w:rPr>
        <w:t>del tributo y 106 de la ley de procedimiento tributario. Finalmente, esos intereses que conforman renta argentina para el establecimiento estable deberán ser excluid</w:t>
      </w:r>
      <w:r>
        <w:rPr>
          <w:rFonts w:hAnsi="Calibri" w:cs="Calibri"/>
          <w:sz w:val="24"/>
          <w:szCs w:val="24"/>
        </w:rPr>
        <w:t>o</w:t>
      </w:r>
      <w:r w:rsidRPr="0011267F">
        <w:rPr>
          <w:rFonts w:hAnsi="Calibri" w:cs="Calibri"/>
          <w:sz w:val="24"/>
          <w:szCs w:val="24"/>
        </w:rPr>
        <w:t>s al momento de distribuir utilidades al inversor argentino</w:t>
      </w:r>
      <w:r w:rsidRPr="001F0605">
        <w:rPr>
          <w:rFonts w:hAnsi="Calibri"/>
          <w:vertAlign w:val="superscript"/>
        </w:rPr>
        <w:footnoteReference w:id="78"/>
      </w:r>
      <w:r>
        <w:rPr>
          <w:rFonts w:hAnsi="Calibri" w:cs="Calibri"/>
          <w:sz w:val="24"/>
          <w:szCs w:val="24"/>
        </w:rPr>
        <w:t>.</w:t>
      </w:r>
    </w:p>
    <w:p w:rsidR="00D529C5" w:rsidRDefault="00D529C5" w:rsidP="00A91579">
      <w:pPr>
        <w:pStyle w:val="ListParagraph"/>
        <w:spacing w:after="0" w:line="240" w:lineRule="auto"/>
        <w:ind w:left="0"/>
        <w:jc w:val="both"/>
        <w:rPr>
          <w:rFonts w:hAnsi="Calibri" w:cs="Calibri"/>
          <w:sz w:val="24"/>
          <w:szCs w:val="24"/>
        </w:rPr>
      </w:pPr>
    </w:p>
    <w:p w:rsidR="00D529C5" w:rsidRDefault="00D529C5" w:rsidP="00A91579">
      <w:pPr>
        <w:pStyle w:val="ListParagraph"/>
        <w:spacing w:after="0" w:line="240" w:lineRule="auto"/>
        <w:ind w:left="0"/>
        <w:jc w:val="both"/>
        <w:rPr>
          <w:rFonts w:hAnsi="Calibri" w:cs="Calibri"/>
          <w:sz w:val="24"/>
          <w:szCs w:val="24"/>
        </w:rPr>
      </w:pPr>
      <w:r>
        <w:rPr>
          <w:rFonts w:hAnsi="Calibri" w:cs="Calibri"/>
          <w:sz w:val="24"/>
          <w:szCs w:val="24"/>
        </w:rPr>
        <w:t xml:space="preserve">Finalmente, debe señalarse que, las ganancias atribuibles a los establecimientos estables a los que nos estamos refiriendo, se imputan por el criterio de lo devengado. Existe la posibilidad de aplicar el método del devengado exigible. Los gastos siguen a los ingresos vinculados, y los que no puedan imputarse a una determinada fuente seguirán el criterio de lo percibido. </w:t>
      </w:r>
    </w:p>
    <w:p w:rsidR="00D529C5" w:rsidRPr="0011267F" w:rsidRDefault="00D529C5" w:rsidP="006A5E89">
      <w:pPr>
        <w:pStyle w:val="ListParagraph"/>
        <w:spacing w:after="0" w:line="240" w:lineRule="auto"/>
        <w:ind w:left="0"/>
        <w:jc w:val="both"/>
        <w:rPr>
          <w:rFonts w:hAnsi="Calibri" w:cs="Calibri"/>
          <w:sz w:val="24"/>
          <w:szCs w:val="24"/>
        </w:rPr>
      </w:pPr>
    </w:p>
    <w:p w:rsidR="00D529C5" w:rsidRPr="00BD3E3B" w:rsidRDefault="00D529C5" w:rsidP="00B609F0">
      <w:pPr>
        <w:pStyle w:val="Heading3"/>
        <w:numPr>
          <w:ilvl w:val="2"/>
          <w:numId w:val="39"/>
        </w:numPr>
        <w:rPr>
          <w:rFonts w:ascii="Calibri" w:hAnsi="Calibri" w:cs="Calibri"/>
          <w:color w:val="000000"/>
          <w:sz w:val="24"/>
          <w:szCs w:val="24"/>
        </w:rPr>
      </w:pPr>
      <w:bookmarkStart w:id="45" w:name="_Toc491335391"/>
      <w:bookmarkStart w:id="46" w:name="_Toc492313334"/>
      <w:r w:rsidRPr="00BD3E3B">
        <w:rPr>
          <w:rFonts w:ascii="Calibri" w:hAnsi="Calibri" w:cs="Calibri"/>
          <w:color w:val="000000"/>
          <w:sz w:val="24"/>
          <w:szCs w:val="24"/>
        </w:rPr>
        <w:t>Establecimiento permanente o sociedad por acciones</w:t>
      </w:r>
      <w:bookmarkEnd w:id="45"/>
      <w:bookmarkEnd w:id="46"/>
    </w:p>
    <w:p w:rsidR="00D529C5" w:rsidRPr="0011267F" w:rsidRDefault="00D529C5" w:rsidP="008C215A">
      <w:pPr>
        <w:spacing w:after="0" w:line="240" w:lineRule="auto"/>
        <w:jc w:val="both"/>
        <w:rPr>
          <w:rFonts w:hAnsi="Calibri" w:cs="Calibri"/>
          <w:b/>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En un pronunciamiento, el más Alto Tribunal</w:t>
      </w:r>
      <w:r w:rsidRPr="0011267F">
        <w:rPr>
          <w:rStyle w:val="FootnoteReference"/>
          <w:rFonts w:hAnsi="Calibri" w:cs="Calibri"/>
          <w:sz w:val="24"/>
          <w:szCs w:val="24"/>
        </w:rPr>
        <w:footnoteReference w:id="79"/>
      </w:r>
      <w:r w:rsidRPr="0011267F">
        <w:rPr>
          <w:rFonts w:hAnsi="Calibri" w:cs="Calibri"/>
          <w:sz w:val="24"/>
          <w:szCs w:val="24"/>
        </w:rPr>
        <w:t xml:space="preserve"> tuvo oportunidad de analizar el tratamiento que correspondía acordar al resultado impositivo de fuente extranjera obtenido por una sociedad argentina por su participación en el 100% del capital de una empresa radicada en Uruguay regida por las leyes de dicha jurisdicción. </w:t>
      </w:r>
      <w:r>
        <w:rPr>
          <w:rFonts w:hAnsi="Calibri" w:cs="Calibri"/>
          <w:sz w:val="24"/>
          <w:szCs w:val="24"/>
        </w:rPr>
        <w:t>La firma no obtenía rentas pasivas.</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Al respecto, la Corte concluyó, en virtud de la aplicación del artículo 133 inciso c) y de la remisión que éste hace al artículo 18 y en particular, en el presente caso, a los tres primeros párrafos de su inciso a) del segundo párrafo, que los resultados positivos obtenidos por las sociedades por acciones en el exterior serán imputados por sus accionistas cuando la sociedad participada ponga a su disposición los dividendos respectivos.</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 xml:space="preserve">Debe aclararse que, en el caso analizado no nos encontrábamos ante una sociedad </w:t>
      </w:r>
      <w:r>
        <w:rPr>
          <w:rFonts w:hAnsi="Calibri" w:cs="Calibri"/>
          <w:sz w:val="24"/>
          <w:szCs w:val="24"/>
        </w:rPr>
        <w:t xml:space="preserve">por acciones </w:t>
      </w:r>
      <w:r w:rsidRPr="0011267F">
        <w:rPr>
          <w:rFonts w:hAnsi="Calibri" w:cs="Calibri"/>
          <w:sz w:val="24"/>
          <w:szCs w:val="24"/>
        </w:rPr>
        <w:t>extranjera radicada en una jurisdicción -denominada en la época de los hechos controvertidos- de baja o nula tributación.</w:t>
      </w:r>
    </w:p>
    <w:p w:rsidR="00D529C5" w:rsidRPr="0011267F" w:rsidRDefault="00D529C5" w:rsidP="008C215A">
      <w:pPr>
        <w:spacing w:after="0" w:line="240" w:lineRule="auto"/>
        <w:jc w:val="both"/>
        <w:rPr>
          <w:rFonts w:hAnsi="Calibri" w:cs="Calibri"/>
          <w:sz w:val="24"/>
          <w:szCs w:val="24"/>
        </w:rPr>
      </w:pPr>
    </w:p>
    <w:p w:rsidR="00D529C5" w:rsidRDefault="00D529C5" w:rsidP="008C215A">
      <w:pPr>
        <w:spacing w:after="0" w:line="240" w:lineRule="auto"/>
        <w:jc w:val="both"/>
        <w:rPr>
          <w:rFonts w:hAnsi="Calibri" w:cs="Calibri"/>
          <w:sz w:val="24"/>
          <w:szCs w:val="24"/>
        </w:rPr>
      </w:pPr>
      <w:r w:rsidRPr="0011267F">
        <w:rPr>
          <w:rFonts w:hAnsi="Calibri" w:cs="Calibri"/>
          <w:sz w:val="24"/>
          <w:szCs w:val="24"/>
        </w:rPr>
        <w:t>Esta situación que habilitaba la aplicación del inciso c) del artículo 133 citado debía compatibilizarse con el último párrafo del artículo 148 de la ley del tributo que, obliga a los accionistas residentes en el país de sociedades en el exterior a computar las ganancias de fuente extranjera  aun cuando los beneficios no les hubieran sido remesados ni acreditados en su</w:t>
      </w:r>
      <w:r>
        <w:rPr>
          <w:rFonts w:hAnsi="Calibri" w:cs="Calibri"/>
          <w:sz w:val="24"/>
          <w:szCs w:val="24"/>
        </w:rPr>
        <w:t>s</w:t>
      </w:r>
      <w:r w:rsidRPr="0011267F">
        <w:rPr>
          <w:rFonts w:hAnsi="Calibri" w:cs="Calibri"/>
          <w:sz w:val="24"/>
          <w:szCs w:val="24"/>
        </w:rPr>
        <w:t xml:space="preserve"> cuentas pero solo</w:t>
      </w:r>
      <w:r>
        <w:rPr>
          <w:rFonts w:hAnsi="Calibri" w:cs="Calibri"/>
          <w:sz w:val="24"/>
          <w:szCs w:val="24"/>
        </w:rPr>
        <w:t>,</w:t>
      </w:r>
      <w:r w:rsidRPr="0011267F">
        <w:rPr>
          <w:rFonts w:hAnsi="Calibri" w:cs="Calibri"/>
          <w:sz w:val="24"/>
          <w:szCs w:val="24"/>
        </w:rPr>
        <w:t xml:space="preserve"> sí esas ganancias se refieren a rentas pasivas de sociedades constituidas o ubicadas en  países de baja o nula tributación</w:t>
      </w:r>
      <w:r w:rsidRPr="0011267F">
        <w:rPr>
          <w:rStyle w:val="FootnoteReference"/>
          <w:rFonts w:hAnsi="Calibri" w:cs="Calibri"/>
          <w:sz w:val="24"/>
          <w:szCs w:val="24"/>
        </w:rPr>
        <w:footnoteReference w:id="80"/>
      </w:r>
      <w:r w:rsidRPr="0011267F">
        <w:rPr>
          <w:rFonts w:hAnsi="Calibri" w:cs="Calibri"/>
          <w:sz w:val="24"/>
          <w:szCs w:val="24"/>
        </w:rPr>
        <w:t>.</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 xml:space="preserve">Se concluye, entonces que, los resultados negativos que emergieren de la sociedad participada solo podían ser computados por la sociedad inversora al momento de la enajenación de las acciones o liquidación de la sociedad. Debe recordarse que </w:t>
      </w:r>
      <w:r>
        <w:rPr>
          <w:rFonts w:hAnsi="Calibri" w:cs="Calibri"/>
          <w:sz w:val="24"/>
          <w:szCs w:val="24"/>
        </w:rPr>
        <w:t>el</w:t>
      </w:r>
      <w:r w:rsidRPr="0011267F">
        <w:rPr>
          <w:rFonts w:hAnsi="Calibri" w:cs="Calibri"/>
          <w:sz w:val="24"/>
          <w:szCs w:val="24"/>
        </w:rPr>
        <w:t xml:space="preserve"> Fisco pretendía atribuir a la sociedad del Uruguay el carácter de establecimiento permanente en los términos del artículo 128 de la ley del gravamen y asignarle a sus utilidades el tratamiento fiscal previsto en el artículo 133 y 148 del mismo ordenamiento. </w:t>
      </w:r>
    </w:p>
    <w:p w:rsidR="00D529C5" w:rsidRPr="0011267F" w:rsidRDefault="00D529C5" w:rsidP="008C215A">
      <w:pPr>
        <w:spacing w:after="0" w:line="240" w:lineRule="auto"/>
        <w:jc w:val="both"/>
        <w:rPr>
          <w:rFonts w:hAnsi="Calibri" w:cs="Calibri"/>
          <w:sz w:val="24"/>
          <w:szCs w:val="24"/>
        </w:rPr>
      </w:pPr>
    </w:p>
    <w:p w:rsidR="00D529C5" w:rsidRPr="00EE580B" w:rsidRDefault="00D529C5" w:rsidP="00B609F0">
      <w:pPr>
        <w:pStyle w:val="Heading2"/>
        <w:numPr>
          <w:ilvl w:val="1"/>
          <w:numId w:val="39"/>
        </w:numPr>
      </w:pPr>
      <w:bookmarkStart w:id="47" w:name="_Toc491335392"/>
      <w:bookmarkStart w:id="48" w:name="_Toc492313335"/>
      <w:r w:rsidRPr="00EE580B">
        <w:t>A través de sociedades anónimas del exterior constituidas en una jurisdicción no cooperante</w:t>
      </w:r>
      <w:bookmarkEnd w:id="47"/>
      <w:bookmarkEnd w:id="48"/>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pStyle w:val="BodyTextIndent2"/>
        <w:tabs>
          <w:tab w:val="left" w:pos="709"/>
          <w:tab w:val="left" w:pos="1134"/>
          <w:tab w:val="left" w:pos="2160"/>
        </w:tabs>
        <w:ind w:firstLine="0"/>
        <w:rPr>
          <w:rFonts w:ascii="Calibri" w:hAnsi="Calibri" w:cs="Calibri"/>
          <w:color w:val="111111"/>
          <w:sz w:val="24"/>
          <w:szCs w:val="24"/>
        </w:rPr>
      </w:pPr>
      <w:r w:rsidRPr="0011267F">
        <w:rPr>
          <w:rFonts w:ascii="Calibri" w:hAnsi="Calibri" w:cs="Calibri"/>
          <w:color w:val="111111"/>
          <w:sz w:val="24"/>
          <w:szCs w:val="24"/>
        </w:rPr>
        <w:t>A fin de evitar el diferimiento en la imputación de las</w:t>
      </w:r>
      <w:r>
        <w:rPr>
          <w:rFonts w:ascii="Calibri" w:hAnsi="Calibri" w:cs="Calibri"/>
          <w:color w:val="111111"/>
          <w:sz w:val="24"/>
          <w:szCs w:val="24"/>
        </w:rPr>
        <w:t xml:space="preserve"> rentas</w:t>
      </w:r>
      <w:r w:rsidRPr="0011267F">
        <w:rPr>
          <w:rFonts w:ascii="Calibri" w:hAnsi="Calibri" w:cs="Calibri"/>
          <w:color w:val="111111"/>
          <w:sz w:val="24"/>
          <w:szCs w:val="24"/>
        </w:rPr>
        <w:t xml:space="preserve">, nuestra legislación prevé lo que denomina un régimen de “transparencia fiscal”. </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sidRPr="0011267F">
        <w:rPr>
          <w:rFonts w:ascii="Calibri" w:hAnsi="Calibri" w:cs="Calibri"/>
          <w:sz w:val="24"/>
          <w:szCs w:val="24"/>
        </w:rPr>
        <w:t xml:space="preserve">Al respecto, </w:t>
      </w:r>
      <w:r>
        <w:rPr>
          <w:rFonts w:ascii="Calibri" w:hAnsi="Calibri" w:cs="Calibri"/>
          <w:sz w:val="24"/>
          <w:szCs w:val="24"/>
        </w:rPr>
        <w:t>se sostiene</w:t>
      </w:r>
      <w:r w:rsidRPr="0011267F">
        <w:rPr>
          <w:rFonts w:ascii="Calibri" w:hAnsi="Calibri" w:cs="Calibri"/>
          <w:sz w:val="24"/>
          <w:szCs w:val="24"/>
        </w:rPr>
        <w:t xml:space="preserve"> que la aplicación de normas de transparencia fiscal puede justificarse desde distintos puntos de vista, a saber:</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BodyTextIndent2"/>
        <w:numPr>
          <w:ilvl w:val="0"/>
          <w:numId w:val="18"/>
        </w:numPr>
        <w:tabs>
          <w:tab w:val="left" w:pos="1134"/>
          <w:tab w:val="left" w:pos="2160"/>
        </w:tabs>
        <w:ind w:left="0" w:firstLine="0"/>
        <w:rPr>
          <w:rFonts w:ascii="Calibri" w:hAnsi="Calibri" w:cs="Calibri"/>
          <w:sz w:val="24"/>
          <w:szCs w:val="24"/>
        </w:rPr>
      </w:pPr>
      <w:r w:rsidRPr="0011267F">
        <w:rPr>
          <w:rFonts w:ascii="Calibri" w:hAnsi="Calibri" w:cs="Calibri"/>
          <w:sz w:val="24"/>
          <w:szCs w:val="24"/>
        </w:rPr>
        <w:t xml:space="preserve">Evitar el diferimiento fiscal como </w:t>
      </w:r>
      <w:r>
        <w:rPr>
          <w:rFonts w:ascii="Calibri" w:hAnsi="Calibri" w:cs="Calibri"/>
          <w:sz w:val="24"/>
          <w:szCs w:val="24"/>
        </w:rPr>
        <w:t>técnica de planificación fiscal.</w:t>
      </w:r>
    </w:p>
    <w:p w:rsidR="00D529C5" w:rsidRPr="0011267F" w:rsidRDefault="00D529C5" w:rsidP="008C215A">
      <w:pPr>
        <w:pStyle w:val="BodyTextIndent2"/>
        <w:numPr>
          <w:ilvl w:val="0"/>
          <w:numId w:val="18"/>
        </w:numPr>
        <w:tabs>
          <w:tab w:val="left" w:pos="1134"/>
          <w:tab w:val="left" w:pos="2160"/>
        </w:tabs>
        <w:ind w:left="0" w:firstLine="0"/>
        <w:rPr>
          <w:rFonts w:ascii="Calibri" w:hAnsi="Calibri" w:cs="Calibri"/>
          <w:sz w:val="24"/>
          <w:szCs w:val="24"/>
        </w:rPr>
      </w:pPr>
      <w:r w:rsidRPr="0011267F">
        <w:rPr>
          <w:rFonts w:ascii="Calibri" w:hAnsi="Calibri" w:cs="Calibri"/>
          <w:sz w:val="24"/>
          <w:szCs w:val="24"/>
        </w:rPr>
        <w:t>Levantar el velo societario y neutraliza</w:t>
      </w:r>
      <w:r>
        <w:rPr>
          <w:rFonts w:ascii="Calibri" w:hAnsi="Calibri" w:cs="Calibri"/>
          <w:sz w:val="24"/>
          <w:szCs w:val="24"/>
        </w:rPr>
        <w:t xml:space="preserve">r </w:t>
      </w:r>
      <w:r w:rsidRPr="0011267F">
        <w:rPr>
          <w:rFonts w:ascii="Calibri" w:hAnsi="Calibri" w:cs="Calibri"/>
          <w:sz w:val="24"/>
          <w:szCs w:val="24"/>
        </w:rPr>
        <w:t>el abuso de las formas jurídicas, mediante un sistema de presunciones legales que tienden a recuperar base imponible que se trasladó a otra jurisdicción (“disrega</w:t>
      </w:r>
      <w:r>
        <w:rPr>
          <w:rFonts w:ascii="Calibri" w:hAnsi="Calibri" w:cs="Calibri"/>
          <w:sz w:val="24"/>
          <w:szCs w:val="24"/>
        </w:rPr>
        <w:t>rde</w:t>
      </w:r>
      <w:r w:rsidRPr="0011267F">
        <w:rPr>
          <w:rFonts w:ascii="Calibri" w:hAnsi="Calibri" w:cs="Calibri"/>
          <w:sz w:val="24"/>
          <w:szCs w:val="24"/>
        </w:rPr>
        <w:t>d legal entit</w:t>
      </w:r>
      <w:r>
        <w:rPr>
          <w:rFonts w:ascii="Calibri" w:hAnsi="Calibri" w:cs="Calibri"/>
          <w:sz w:val="24"/>
          <w:szCs w:val="24"/>
        </w:rPr>
        <w:t>y</w:t>
      </w:r>
      <w:r w:rsidRPr="0011267F">
        <w:rPr>
          <w:rFonts w:ascii="Calibri" w:hAnsi="Calibri" w:cs="Calibri"/>
          <w:sz w:val="24"/>
          <w:szCs w:val="24"/>
        </w:rPr>
        <w:t>”)</w:t>
      </w:r>
      <w:r>
        <w:rPr>
          <w:rFonts w:ascii="Calibri" w:hAnsi="Calibri" w:cs="Calibri"/>
          <w:sz w:val="24"/>
          <w:szCs w:val="24"/>
        </w:rPr>
        <w:t>.</w:t>
      </w:r>
    </w:p>
    <w:p w:rsidR="00D529C5" w:rsidRPr="0011267F" w:rsidRDefault="00D529C5" w:rsidP="008C215A">
      <w:pPr>
        <w:pStyle w:val="BodyTextIndent2"/>
        <w:numPr>
          <w:ilvl w:val="0"/>
          <w:numId w:val="18"/>
        </w:numPr>
        <w:tabs>
          <w:tab w:val="left" w:pos="1134"/>
          <w:tab w:val="left" w:pos="2160"/>
        </w:tabs>
        <w:ind w:left="0" w:firstLine="0"/>
        <w:rPr>
          <w:rFonts w:ascii="Calibri" w:hAnsi="Calibri" w:cs="Calibri"/>
          <w:sz w:val="24"/>
          <w:szCs w:val="24"/>
        </w:rPr>
      </w:pPr>
      <w:r w:rsidRPr="0011267F">
        <w:rPr>
          <w:rFonts w:ascii="Calibri" w:hAnsi="Calibri" w:cs="Calibri"/>
          <w:sz w:val="24"/>
          <w:szCs w:val="24"/>
        </w:rPr>
        <w:t>Gravar una manifestación de capacidad contributiva dada por la renta total</w:t>
      </w:r>
      <w:r w:rsidRPr="0011267F">
        <w:rPr>
          <w:rStyle w:val="FootnoteReference"/>
          <w:rFonts w:ascii="Calibri" w:hAnsi="Calibri" w:cs="Calibri"/>
          <w:sz w:val="24"/>
          <w:szCs w:val="24"/>
        </w:rPr>
        <w:footnoteReference w:id="81"/>
      </w:r>
      <w:r>
        <w:rPr>
          <w:rFonts w:ascii="Calibri" w:hAnsi="Calibri" w:cs="Calibri"/>
          <w:sz w:val="24"/>
          <w:szCs w:val="24"/>
        </w:rPr>
        <w:t>.</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sidRPr="0011267F">
        <w:rPr>
          <w:rFonts w:ascii="Calibri" w:hAnsi="Calibri" w:cs="Calibri"/>
          <w:sz w:val="24"/>
          <w:szCs w:val="24"/>
        </w:rPr>
        <w:t>La doctrina destaca que la legislación sobre las llamadas “sociedades extranjeras controladas” (“controlled forei</w:t>
      </w:r>
      <w:r>
        <w:rPr>
          <w:rFonts w:ascii="Calibri" w:hAnsi="Calibri" w:cs="Calibri"/>
          <w:sz w:val="24"/>
          <w:szCs w:val="24"/>
        </w:rPr>
        <w:t>gn</w:t>
      </w:r>
      <w:r w:rsidRPr="0011267F">
        <w:rPr>
          <w:rFonts w:ascii="Calibri" w:hAnsi="Calibri" w:cs="Calibri"/>
          <w:sz w:val="24"/>
          <w:szCs w:val="24"/>
        </w:rPr>
        <w:t xml:space="preserve"> corporations” </w:t>
      </w:r>
      <w:r>
        <w:rPr>
          <w:rFonts w:ascii="Calibri" w:hAnsi="Calibri" w:cs="Calibri"/>
          <w:sz w:val="24"/>
          <w:szCs w:val="24"/>
        </w:rPr>
        <w:t>-</w:t>
      </w:r>
      <w:r w:rsidRPr="0011267F">
        <w:rPr>
          <w:rFonts w:ascii="Calibri" w:hAnsi="Calibri" w:cs="Calibri"/>
          <w:sz w:val="24"/>
          <w:szCs w:val="24"/>
        </w:rPr>
        <w:t>CFC-), aborda el caso de las llamadas “rentas calificadas” o “rentas pasivas”, entre las que se incluyen los intereses, dividendos y regalías de un modo general</w:t>
      </w:r>
      <w:r w:rsidRPr="0011267F">
        <w:rPr>
          <w:rStyle w:val="FootnoteReference"/>
          <w:rFonts w:ascii="Calibri" w:hAnsi="Calibri" w:cs="Calibri"/>
          <w:sz w:val="24"/>
          <w:szCs w:val="24"/>
        </w:rPr>
        <w:footnoteReference w:id="82"/>
      </w:r>
      <w:r w:rsidRPr="0011267F">
        <w:rPr>
          <w:rFonts w:ascii="Calibri" w:hAnsi="Calibri" w:cs="Calibri"/>
          <w:sz w:val="24"/>
          <w:szCs w:val="24"/>
        </w:rPr>
        <w:t>.</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sidRPr="0011267F">
        <w:rPr>
          <w:rFonts w:ascii="Calibri" w:hAnsi="Calibri" w:cs="Calibri"/>
          <w:sz w:val="24"/>
          <w:szCs w:val="24"/>
        </w:rPr>
        <w:t>El mismo autor explica que las no</w:t>
      </w:r>
      <w:r>
        <w:rPr>
          <w:rFonts w:ascii="Calibri" w:hAnsi="Calibri" w:cs="Calibri"/>
          <w:sz w:val="24"/>
          <w:szCs w:val="24"/>
        </w:rPr>
        <w:t>rmas en trato</w:t>
      </w:r>
      <w:r w:rsidRPr="0011267F">
        <w:rPr>
          <w:rFonts w:ascii="Calibri" w:hAnsi="Calibri" w:cs="Calibri"/>
          <w:sz w:val="24"/>
          <w:szCs w:val="24"/>
        </w:rPr>
        <w:t xml:space="preserve"> pueden incorporarse a las legislaciones con base en dos enfoques distintos:</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BodyTextIndent2"/>
        <w:numPr>
          <w:ilvl w:val="0"/>
          <w:numId w:val="18"/>
        </w:numPr>
        <w:tabs>
          <w:tab w:val="left" w:pos="1134"/>
          <w:tab w:val="left" w:pos="2160"/>
        </w:tabs>
        <w:ind w:left="0" w:firstLine="0"/>
        <w:rPr>
          <w:rFonts w:ascii="Calibri" w:hAnsi="Calibri" w:cs="Calibri"/>
          <w:sz w:val="24"/>
          <w:szCs w:val="24"/>
        </w:rPr>
      </w:pPr>
      <w:r w:rsidRPr="0011267F">
        <w:rPr>
          <w:rFonts w:ascii="Calibri" w:hAnsi="Calibri" w:cs="Calibri"/>
          <w:sz w:val="24"/>
          <w:szCs w:val="24"/>
        </w:rPr>
        <w:t>“transactional approach”: son aplicadas a las sociedades extranjeras controladas con total independencia de la jurisdicción en que sean residentes.</w:t>
      </w:r>
    </w:p>
    <w:p w:rsidR="00D529C5" w:rsidRPr="0011267F" w:rsidRDefault="00D529C5" w:rsidP="008C215A">
      <w:pPr>
        <w:pStyle w:val="BodyTextIndent2"/>
        <w:numPr>
          <w:ilvl w:val="0"/>
          <w:numId w:val="18"/>
        </w:numPr>
        <w:tabs>
          <w:tab w:val="left" w:pos="1134"/>
          <w:tab w:val="left" w:pos="2160"/>
        </w:tabs>
        <w:ind w:left="0" w:firstLine="0"/>
        <w:rPr>
          <w:rFonts w:ascii="Calibri" w:hAnsi="Calibri" w:cs="Calibri"/>
          <w:sz w:val="24"/>
          <w:szCs w:val="24"/>
        </w:rPr>
      </w:pPr>
      <w:r w:rsidRPr="0011267F">
        <w:rPr>
          <w:rFonts w:ascii="Calibri" w:hAnsi="Calibri" w:cs="Calibri"/>
          <w:sz w:val="24"/>
          <w:szCs w:val="24"/>
        </w:rPr>
        <w:t>“jurisdiccional approach”: son aplicadas a ciertas jurisdicciones consideradas de baja tributación.</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sidRPr="0011267F">
        <w:rPr>
          <w:rFonts w:ascii="Calibri" w:hAnsi="Calibri" w:cs="Calibri"/>
          <w:sz w:val="24"/>
          <w:szCs w:val="24"/>
        </w:rPr>
        <w:t>El desconocimiento de la personalidad propia de sujetos radicados en el exterior es dispuesto por nuestra ley en forma expresa para ciertas situaciones y no para otras que, al no estar ex</w:t>
      </w:r>
      <w:r>
        <w:rPr>
          <w:rFonts w:ascii="Calibri" w:hAnsi="Calibri" w:cs="Calibri"/>
          <w:sz w:val="24"/>
          <w:szCs w:val="24"/>
        </w:rPr>
        <w:t>plícitamente</w:t>
      </w:r>
      <w:r w:rsidRPr="0011267F">
        <w:rPr>
          <w:rFonts w:ascii="Calibri" w:hAnsi="Calibri" w:cs="Calibri"/>
          <w:sz w:val="24"/>
          <w:szCs w:val="24"/>
        </w:rPr>
        <w:t xml:space="preserve"> mencionadas, no podrían quedar privadas de tal personalidad.</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lang w:val="es-ES" w:eastAsia="es-ES"/>
        </w:rPr>
      </w:pPr>
      <w:r w:rsidRPr="0011267F">
        <w:rPr>
          <w:rFonts w:ascii="Calibri" w:hAnsi="Calibri" w:cs="Calibri"/>
          <w:color w:val="111111"/>
        </w:rPr>
        <w:t>Las disposiciones relativas a este concepto se encuentran en l</w:t>
      </w:r>
      <w:r w:rsidRPr="0011267F">
        <w:rPr>
          <w:rFonts w:ascii="Calibri" w:hAnsi="Calibri" w:cs="Calibri"/>
          <w:lang w:val="es-ES" w:eastAsia="es-ES"/>
        </w:rPr>
        <w:t xml:space="preserve">os artículos 133 y 148 y </w:t>
      </w:r>
      <w:r>
        <w:rPr>
          <w:rFonts w:ascii="Calibri" w:hAnsi="Calibri" w:cs="Calibri"/>
          <w:lang w:val="es-ES" w:eastAsia="es-ES"/>
        </w:rPr>
        <w:t xml:space="preserve">los correlativos </w:t>
      </w:r>
      <w:r w:rsidRPr="0011267F">
        <w:rPr>
          <w:rFonts w:ascii="Calibri" w:hAnsi="Calibri" w:cs="Calibri"/>
          <w:lang w:val="es-ES" w:eastAsia="es-ES"/>
        </w:rPr>
        <w:t>de la reglamentación delimitan</w:t>
      </w:r>
      <w:r>
        <w:rPr>
          <w:rFonts w:ascii="Calibri" w:hAnsi="Calibri" w:cs="Calibri"/>
          <w:lang w:val="es-ES" w:eastAsia="es-ES"/>
        </w:rPr>
        <w:t>do</w:t>
      </w:r>
      <w:r w:rsidRPr="0011267F">
        <w:rPr>
          <w:rFonts w:ascii="Calibri" w:hAnsi="Calibri" w:cs="Calibri"/>
          <w:lang w:val="es-ES" w:eastAsia="es-ES"/>
        </w:rPr>
        <w:t xml:space="preserve"> los casos en los que se aplicarán las normas sobre transparencia fiscal:</w:t>
      </w:r>
    </w:p>
    <w:p w:rsidR="00D529C5" w:rsidRPr="0011267F" w:rsidRDefault="00D529C5" w:rsidP="008C215A">
      <w:pPr>
        <w:pStyle w:val="NormalWeb"/>
        <w:shd w:val="clear" w:color="auto" w:fill="FFFFFF"/>
        <w:spacing w:before="0" w:beforeAutospacing="0" w:after="0" w:afterAutospacing="0"/>
        <w:jc w:val="both"/>
        <w:rPr>
          <w:rFonts w:ascii="Calibri" w:hAnsi="Calibri" w:cs="Calibri"/>
          <w:lang w:val="es-ES" w:eastAsia="es-ES"/>
        </w:rPr>
      </w:pPr>
    </w:p>
    <w:p w:rsidR="00D529C5" w:rsidRPr="0011267F" w:rsidRDefault="00D529C5" w:rsidP="008C215A">
      <w:pPr>
        <w:spacing w:after="0" w:line="240" w:lineRule="auto"/>
        <w:jc w:val="both"/>
        <w:rPr>
          <w:rFonts w:hAnsi="Calibri" w:cs="Calibri"/>
          <w:i/>
          <w:sz w:val="24"/>
          <w:szCs w:val="24"/>
          <w:lang w:val="es-ES_tradnl" w:eastAsia="es-ES"/>
        </w:rPr>
      </w:pPr>
      <w:r w:rsidRPr="0011267F">
        <w:rPr>
          <w:rFonts w:hAnsi="Calibri" w:cs="Calibri"/>
          <w:i/>
          <w:sz w:val="24"/>
          <w:szCs w:val="24"/>
          <w:lang w:val="es-ES_tradnl" w:eastAsia="es-ES"/>
        </w:rPr>
        <w:t>[L]a imputación de ganancias y gastos comprendidos en este Título, se efectuará de acuerdo con las disposiciones contenidas en el artículo 18 que les resulten aplicables, con las adecuaciones que se establecen a continuación:</w:t>
      </w:r>
    </w:p>
    <w:p w:rsidR="00D529C5" w:rsidRPr="0011267F" w:rsidRDefault="00D529C5" w:rsidP="008C215A">
      <w:pPr>
        <w:numPr>
          <w:ilvl w:val="0"/>
          <w:numId w:val="4"/>
        </w:numPr>
        <w:tabs>
          <w:tab w:val="clear" w:pos="1714"/>
        </w:tabs>
        <w:spacing w:after="0" w:line="240" w:lineRule="auto"/>
        <w:ind w:left="0" w:firstLine="0"/>
        <w:jc w:val="both"/>
        <w:rPr>
          <w:rFonts w:hAnsi="Calibri" w:cs="Calibri"/>
          <w:i/>
          <w:sz w:val="24"/>
          <w:szCs w:val="24"/>
          <w:lang w:val="es-ES_tradnl" w:eastAsia="es-ES"/>
        </w:rPr>
      </w:pPr>
      <w:r w:rsidRPr="0011267F">
        <w:rPr>
          <w:rFonts w:hAnsi="Calibri" w:cs="Calibri"/>
          <w:i/>
          <w:sz w:val="24"/>
          <w:szCs w:val="24"/>
          <w:lang w:val="es-ES_tradnl" w:eastAsia="es-ES"/>
        </w:rPr>
        <w:t>Los resultados impositivos de los establecimientos estables definidos en el artículo 128 se imputarán al ejercicio anual de sus titulares residentes en el país comprendidos en los incisos d) y e) del artículo 119, en el que finalice el correspondiente ejercicio anual de los primeros o, cuando sus titulares sean personas físicas o sucesiones indivisas residentes, al año fiscal en que se produzca dicho hecho. Idéntica imputación procederá para los accionistas residentes en el país respecto de los resultados impositivos de las sociedades por acciones, constituidas o ubicadas en países de baja o nula tributación por las ganancias originadas en intereses, dividendos, regalías, alquileres u otras ganancias pasivas similares que indique la reglamentación. La reglamentación establecerá la forma en que los dividendos originados en ganancias imputadas a ejercicios o años fiscales precedentes, por los residentes que revisten la calidad de accionistas de dichas sociedades, serán excluidos de la base imponible...</w:t>
      </w:r>
      <w:r w:rsidRPr="0011267F">
        <w:rPr>
          <w:rFonts w:hAnsi="Calibri" w:cs="Calibri"/>
          <w:i/>
          <w:sz w:val="24"/>
          <w:szCs w:val="24"/>
          <w:lang w:val="es-ES_tradnl"/>
        </w:rPr>
        <w:t>]</w:t>
      </w:r>
      <w:r w:rsidRPr="0011267F">
        <w:rPr>
          <w:rStyle w:val="FootnoteReference"/>
          <w:rFonts w:hAnsi="Calibri" w:cs="Calibri"/>
          <w:i/>
          <w:sz w:val="24"/>
          <w:szCs w:val="24"/>
          <w:lang w:val="es-ES_tradnl"/>
        </w:rPr>
        <w:footnoteReference w:id="83"/>
      </w:r>
      <w:r w:rsidRPr="0011267F">
        <w:rPr>
          <w:rFonts w:hAnsi="Calibri" w:cs="Calibri"/>
          <w:i/>
          <w:sz w:val="24"/>
          <w:szCs w:val="24"/>
          <w:lang w:val="es-ES_tradnl"/>
        </w:rPr>
        <w:t>.</w:t>
      </w:r>
    </w:p>
    <w:p w:rsidR="00D529C5" w:rsidRPr="0011267F" w:rsidRDefault="00D529C5" w:rsidP="008C215A">
      <w:pPr>
        <w:spacing w:after="0" w:line="240" w:lineRule="auto"/>
        <w:jc w:val="both"/>
        <w:rPr>
          <w:rFonts w:hAnsi="Calibri" w:cs="Calibri"/>
          <w:i/>
          <w:sz w:val="24"/>
          <w:szCs w:val="24"/>
          <w:lang w:val="es-ES_tradnl" w:eastAsia="es-ES"/>
        </w:rPr>
      </w:pPr>
    </w:p>
    <w:p w:rsidR="00D529C5" w:rsidRPr="0011267F" w:rsidRDefault="00D529C5" w:rsidP="008C215A">
      <w:pPr>
        <w:spacing w:after="0" w:line="240" w:lineRule="auto"/>
        <w:jc w:val="both"/>
        <w:rPr>
          <w:rFonts w:hAnsi="Calibri" w:cs="Calibri"/>
          <w:sz w:val="24"/>
          <w:szCs w:val="24"/>
        </w:rPr>
      </w:pPr>
      <w:r w:rsidRPr="0011267F">
        <w:rPr>
          <w:rFonts w:hAnsi="Calibri" w:cs="Calibri"/>
          <w:i/>
          <w:sz w:val="24"/>
          <w:szCs w:val="24"/>
          <w:lang w:val="es-ES_tradnl" w:eastAsia="es-ES"/>
        </w:rPr>
        <w:t>[L]os titulares residentes en el país de los establecimientos estables definidos en el artículo 128, se asignarán los resultados impositivos de fuente extranjera de los mismos, aun cuando los beneficios no les hubieran sido remesados ni acreditados en sus cuentas. Idéntico criterio aplicarán los accionistas residentes en el país de sociedades por acciones constituidas o ubicadas en el exterior…</w:t>
      </w:r>
      <w:r w:rsidRPr="0011267F">
        <w:rPr>
          <w:rFonts w:hAnsi="Calibri" w:cs="Calibri"/>
          <w:i/>
          <w:sz w:val="24"/>
          <w:szCs w:val="24"/>
          <w:lang w:val="es-ES_tradnl"/>
        </w:rPr>
        <w:t>]</w:t>
      </w:r>
      <w:r w:rsidRPr="0011267F">
        <w:rPr>
          <w:rStyle w:val="FootnoteReference"/>
          <w:rFonts w:hAnsi="Calibri" w:cs="Calibri"/>
          <w:i/>
          <w:sz w:val="24"/>
          <w:szCs w:val="24"/>
          <w:lang w:val="es-ES_tradnl"/>
        </w:rPr>
        <w:footnoteReference w:id="84"/>
      </w:r>
      <w:r w:rsidRPr="0011267F">
        <w:rPr>
          <w:rFonts w:hAnsi="Calibri" w:cs="Calibri"/>
          <w:i/>
          <w:sz w:val="24"/>
          <w:szCs w:val="24"/>
          <w:lang w:val="es-ES_tradnl"/>
        </w:rPr>
        <w:t>.</w:t>
      </w:r>
    </w:p>
    <w:p w:rsidR="00D529C5" w:rsidRPr="0011267F" w:rsidRDefault="00D529C5" w:rsidP="008C215A">
      <w:pPr>
        <w:spacing w:after="0" w:line="240" w:lineRule="auto"/>
        <w:jc w:val="both"/>
        <w:rPr>
          <w:rFonts w:hAnsi="Calibri" w:cs="Calibri"/>
          <w:i/>
          <w:sz w:val="24"/>
          <w:szCs w:val="24"/>
          <w:lang w:val="es-ES_tradnl" w:eastAsia="es-ES"/>
        </w:rPr>
      </w:pPr>
    </w:p>
    <w:p w:rsidR="00D529C5" w:rsidRPr="0011267F" w:rsidRDefault="00D529C5" w:rsidP="008C215A">
      <w:pPr>
        <w:spacing w:after="0" w:line="240" w:lineRule="auto"/>
        <w:jc w:val="both"/>
        <w:rPr>
          <w:rFonts w:hAnsi="Calibri" w:cs="Calibri"/>
          <w:sz w:val="24"/>
          <w:szCs w:val="24"/>
          <w:lang w:val="es-ES_tradnl" w:eastAsia="es-ES"/>
        </w:rPr>
      </w:pPr>
      <w:r w:rsidRPr="0011267F">
        <w:rPr>
          <w:rFonts w:hAnsi="Calibri" w:cs="Calibri"/>
          <w:i/>
          <w:sz w:val="24"/>
          <w:szCs w:val="24"/>
          <w:lang w:val="es-ES_tradnl" w:eastAsia="es-ES"/>
        </w:rPr>
        <w:t>[L]o dispuesto en el primer párrafo "in fine" del artículo 148 de la ley será de aplicación para los accionistas residentes en el país, respecto de las rentas pasivas de sociedades constituidas o ubicadas en el exterior, cuando estas últimas se encuentren radicadas en países de baja o nula tributación</w:t>
      </w:r>
      <w:r w:rsidRPr="0011267F">
        <w:rPr>
          <w:rFonts w:hAnsi="Calibri" w:cs="Calibri"/>
          <w:i/>
          <w:sz w:val="24"/>
          <w:szCs w:val="24"/>
          <w:lang w:val="es-ES_tradnl"/>
        </w:rPr>
        <w:t>]</w:t>
      </w:r>
      <w:r w:rsidRPr="0011267F">
        <w:rPr>
          <w:rStyle w:val="FootnoteReference"/>
          <w:rFonts w:hAnsi="Calibri" w:cs="Calibri"/>
          <w:sz w:val="24"/>
          <w:szCs w:val="24"/>
          <w:lang w:val="es-ES_tradnl" w:eastAsia="es-ES"/>
        </w:rPr>
        <w:footnoteReference w:id="85"/>
      </w:r>
      <w:r w:rsidRPr="0011267F">
        <w:rPr>
          <w:rFonts w:hAnsi="Calibri" w:cs="Calibri"/>
          <w:sz w:val="24"/>
          <w:szCs w:val="24"/>
          <w:lang w:val="es-ES_tradnl" w:eastAsia="es-ES"/>
        </w:rPr>
        <w:t>.</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color w:val="111111"/>
        </w:rPr>
        <w:t xml:space="preserve">Entonces, la aplicación de este régimen se materializa ante las siguientes situaciones: </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8C215A">
      <w:pPr>
        <w:pStyle w:val="NormalWeb"/>
        <w:numPr>
          <w:ilvl w:val="0"/>
          <w:numId w:val="5"/>
        </w:numPr>
        <w:shd w:val="clear" w:color="auto" w:fill="FFFFFF"/>
        <w:spacing w:before="0" w:beforeAutospacing="0" w:after="0" w:afterAutospacing="0"/>
        <w:ind w:left="0" w:firstLine="0"/>
        <w:jc w:val="both"/>
        <w:rPr>
          <w:rFonts w:ascii="Calibri" w:hAnsi="Calibri" w:cs="Calibri"/>
          <w:color w:val="111111"/>
        </w:rPr>
      </w:pPr>
      <w:r w:rsidRPr="0011267F">
        <w:rPr>
          <w:rFonts w:ascii="Calibri" w:hAnsi="Calibri" w:cs="Calibri"/>
          <w:color w:val="111111"/>
        </w:rPr>
        <w:t>La participación debe verificarse -sin importar en qu</w:t>
      </w:r>
      <w:r>
        <w:rPr>
          <w:rFonts w:ascii="Calibri" w:hAnsi="Calibri" w:cs="Calibri"/>
          <w:color w:val="111111"/>
        </w:rPr>
        <w:t>é</w:t>
      </w:r>
      <w:r w:rsidRPr="0011267F">
        <w:rPr>
          <w:rFonts w:ascii="Calibri" w:hAnsi="Calibri" w:cs="Calibri"/>
          <w:color w:val="111111"/>
        </w:rPr>
        <w:t xml:space="preserve"> magnitud porcentual- en una sociedad del exterior.</w:t>
      </w:r>
    </w:p>
    <w:p w:rsidR="00D529C5" w:rsidRPr="0011267F" w:rsidRDefault="00D529C5" w:rsidP="008C215A">
      <w:pPr>
        <w:pStyle w:val="NormalWeb"/>
        <w:numPr>
          <w:ilvl w:val="0"/>
          <w:numId w:val="5"/>
        </w:numPr>
        <w:shd w:val="clear" w:color="auto" w:fill="FFFFFF"/>
        <w:spacing w:before="0" w:beforeAutospacing="0" w:after="0" w:afterAutospacing="0"/>
        <w:ind w:left="0" w:firstLine="0"/>
        <w:jc w:val="both"/>
        <w:rPr>
          <w:rFonts w:ascii="Calibri" w:hAnsi="Calibri" w:cs="Calibri"/>
          <w:color w:val="111111"/>
        </w:rPr>
      </w:pPr>
      <w:r w:rsidRPr="0011267F">
        <w:rPr>
          <w:rFonts w:ascii="Calibri" w:hAnsi="Calibri" w:cs="Calibri"/>
          <w:color w:val="111111"/>
        </w:rPr>
        <w:t xml:space="preserve">La sociedad emisora debe estar situada en una jurisdicción no cooperante a los fines de la transparencia fiscal. </w:t>
      </w:r>
    </w:p>
    <w:p w:rsidR="00D529C5" w:rsidRPr="0011267F" w:rsidRDefault="00D529C5" w:rsidP="008C215A">
      <w:pPr>
        <w:pStyle w:val="NormalWeb"/>
        <w:numPr>
          <w:ilvl w:val="0"/>
          <w:numId w:val="5"/>
        </w:numPr>
        <w:shd w:val="clear" w:color="auto" w:fill="FFFFFF"/>
        <w:spacing w:before="0" w:beforeAutospacing="0" w:after="0" w:afterAutospacing="0"/>
        <w:ind w:left="0" w:firstLine="0"/>
        <w:jc w:val="both"/>
        <w:rPr>
          <w:rFonts w:ascii="Calibri" w:hAnsi="Calibri" w:cs="Calibri"/>
          <w:color w:val="111111"/>
        </w:rPr>
      </w:pPr>
      <w:r w:rsidRPr="0011267F">
        <w:rPr>
          <w:rFonts w:ascii="Calibri" w:hAnsi="Calibri" w:cs="Calibri"/>
          <w:color w:val="111111"/>
        </w:rPr>
        <w:t>Los resultados impositivos de la sociedad del exterior que serán afectados por el régimen serán los de fuente extranjera</w:t>
      </w:r>
      <w:r w:rsidRPr="0011267F">
        <w:rPr>
          <w:rStyle w:val="FootnoteReference"/>
          <w:rFonts w:ascii="Calibri" w:hAnsi="Calibri" w:cs="Calibri"/>
          <w:color w:val="111111"/>
        </w:rPr>
        <w:footnoteReference w:id="86"/>
      </w:r>
      <w:r w:rsidRPr="0011267F">
        <w:rPr>
          <w:rFonts w:ascii="Calibri" w:hAnsi="Calibri" w:cs="Calibri"/>
          <w:color w:val="111111"/>
        </w:rPr>
        <w:t>.</w:t>
      </w:r>
    </w:p>
    <w:p w:rsidR="00D529C5" w:rsidRPr="00BD3E3B" w:rsidRDefault="00D529C5" w:rsidP="00BD3E3B">
      <w:pPr>
        <w:pStyle w:val="NormalWeb"/>
        <w:numPr>
          <w:ilvl w:val="0"/>
          <w:numId w:val="5"/>
        </w:numPr>
        <w:shd w:val="clear" w:color="auto" w:fill="FFFFFF"/>
        <w:spacing w:before="0" w:beforeAutospacing="0" w:after="0" w:afterAutospacing="0"/>
        <w:ind w:left="0" w:firstLine="0"/>
        <w:jc w:val="both"/>
        <w:rPr>
          <w:rFonts w:ascii="Calibri" w:hAnsi="Calibri" w:cs="Calibri"/>
          <w:color w:val="111111"/>
        </w:rPr>
      </w:pPr>
      <w:r w:rsidRPr="0011267F">
        <w:rPr>
          <w:rFonts w:ascii="Calibri" w:hAnsi="Calibri" w:cs="Calibri"/>
          <w:color w:val="111111"/>
        </w:rPr>
        <w:t xml:space="preserve">La sociedad del exterior debe obtener rentas pasivas definidas en la </w:t>
      </w:r>
      <w:r>
        <w:rPr>
          <w:rFonts w:ascii="Calibri" w:hAnsi="Calibri" w:cs="Calibri"/>
          <w:color w:val="111111"/>
        </w:rPr>
        <w:t>ley del gravamen</w:t>
      </w:r>
      <w:r w:rsidRPr="0011267F">
        <w:rPr>
          <w:rFonts w:ascii="Calibri" w:hAnsi="Calibri" w:cs="Calibri"/>
          <w:color w:val="111111"/>
        </w:rPr>
        <w:t xml:space="preserve"> y su </w:t>
      </w:r>
      <w:r>
        <w:rPr>
          <w:rFonts w:ascii="Calibri" w:hAnsi="Calibri" w:cs="Calibri"/>
          <w:color w:val="111111"/>
        </w:rPr>
        <w:t>r</w:t>
      </w:r>
      <w:r w:rsidRPr="0011267F">
        <w:rPr>
          <w:rFonts w:ascii="Calibri" w:hAnsi="Calibri" w:cs="Calibri"/>
          <w:color w:val="111111"/>
        </w:rPr>
        <w:t xml:space="preserve">eglamento. </w:t>
      </w:r>
    </w:p>
    <w:p w:rsidR="00D529C5" w:rsidRPr="00BD3E3B" w:rsidRDefault="00D529C5" w:rsidP="00B609F0">
      <w:pPr>
        <w:pStyle w:val="Heading3"/>
        <w:numPr>
          <w:ilvl w:val="2"/>
          <w:numId w:val="39"/>
        </w:numPr>
        <w:rPr>
          <w:rFonts w:ascii="Calibri" w:hAnsi="Calibri" w:cs="Calibri"/>
          <w:color w:val="000000"/>
          <w:sz w:val="24"/>
          <w:szCs w:val="24"/>
        </w:rPr>
      </w:pPr>
      <w:bookmarkStart w:id="49" w:name="_Toc491335393"/>
      <w:bookmarkStart w:id="50" w:name="_Toc492313336"/>
      <w:r w:rsidRPr="00BD3E3B">
        <w:rPr>
          <w:rFonts w:ascii="Calibri" w:hAnsi="Calibri" w:cs="Calibri"/>
          <w:color w:val="000000"/>
          <w:sz w:val="24"/>
          <w:szCs w:val="24"/>
        </w:rPr>
        <w:t>Jurisdicción no cooperante a los fines de la transparencia fiscal</w:t>
      </w:r>
      <w:bookmarkEnd w:id="49"/>
      <w:bookmarkEnd w:id="50"/>
    </w:p>
    <w:p w:rsidR="00D529C5" w:rsidRPr="0011267F" w:rsidRDefault="00D529C5" w:rsidP="008C215A">
      <w:pPr>
        <w:spacing w:after="0" w:line="240" w:lineRule="auto"/>
        <w:jc w:val="both"/>
        <w:rPr>
          <w:rFonts w:hAnsi="Calibri" w:cs="Calibri"/>
          <w:sz w:val="24"/>
          <w:szCs w:val="24"/>
        </w:rPr>
      </w:pPr>
    </w:p>
    <w:p w:rsidR="00D529C5" w:rsidRDefault="00D529C5" w:rsidP="008C215A">
      <w:pPr>
        <w:spacing w:after="0" w:line="240" w:lineRule="auto"/>
        <w:jc w:val="both"/>
        <w:rPr>
          <w:rFonts w:hAnsi="Calibri" w:cs="Calibri"/>
          <w:sz w:val="24"/>
          <w:szCs w:val="24"/>
          <w:lang w:val="es-ES" w:eastAsia="es-ES"/>
        </w:rPr>
      </w:pPr>
      <w:r w:rsidRPr="0011267F">
        <w:rPr>
          <w:rFonts w:hAnsi="Calibri" w:cs="Calibri"/>
          <w:sz w:val="24"/>
          <w:szCs w:val="24"/>
          <w:lang w:val="es-ES" w:eastAsia="es-ES"/>
        </w:rPr>
        <w:t xml:space="preserve">Basta con que la sociedad del exterior se encuentre radicada en algún país considerado como </w:t>
      </w:r>
      <w:r>
        <w:rPr>
          <w:rFonts w:hAnsi="Calibri" w:cs="Calibri"/>
          <w:sz w:val="24"/>
          <w:szCs w:val="24"/>
          <w:lang w:val="es-ES" w:eastAsia="es-ES"/>
        </w:rPr>
        <w:t>no cooperante</w:t>
      </w:r>
      <w:r w:rsidRPr="0011267F">
        <w:rPr>
          <w:rFonts w:hAnsi="Calibri" w:cs="Calibri"/>
          <w:sz w:val="24"/>
          <w:szCs w:val="24"/>
          <w:lang w:val="es-ES" w:eastAsia="es-ES"/>
        </w:rPr>
        <w:t xml:space="preserve">, </w:t>
      </w:r>
      <w:r>
        <w:rPr>
          <w:rFonts w:hAnsi="Calibri" w:cs="Calibri"/>
          <w:sz w:val="24"/>
          <w:szCs w:val="24"/>
          <w:lang w:val="es-ES" w:eastAsia="es-ES"/>
        </w:rPr>
        <w:t xml:space="preserve">para que aplique el régimen, </w:t>
      </w:r>
      <w:r w:rsidRPr="0011267F">
        <w:rPr>
          <w:rFonts w:hAnsi="Calibri" w:cs="Calibri"/>
          <w:sz w:val="24"/>
          <w:szCs w:val="24"/>
          <w:lang w:val="es-ES" w:eastAsia="es-ES"/>
        </w:rPr>
        <w:t>caracterizado</w:t>
      </w:r>
      <w:r>
        <w:rPr>
          <w:rFonts w:hAnsi="Calibri" w:cs="Calibri"/>
          <w:sz w:val="24"/>
          <w:szCs w:val="24"/>
          <w:lang w:val="es-ES" w:eastAsia="es-ES"/>
        </w:rPr>
        <w:t>, como ya se dijera, bajo el</w:t>
      </w:r>
      <w:r w:rsidRPr="0011267F">
        <w:rPr>
          <w:rFonts w:hAnsi="Calibri" w:cs="Calibri"/>
          <w:sz w:val="24"/>
          <w:szCs w:val="24"/>
          <w:lang w:val="es-ES" w:eastAsia="es-ES"/>
        </w:rPr>
        <w:t xml:space="preserve"> </w:t>
      </w:r>
      <w:r w:rsidRPr="0011267F">
        <w:rPr>
          <w:rFonts w:hAnsi="Calibri" w:cs="Calibri"/>
          <w:i/>
          <w:sz w:val="24"/>
          <w:szCs w:val="24"/>
          <w:lang w:val="es-ES" w:eastAsia="es-ES"/>
        </w:rPr>
        <w:t>“enfoque jurisdiccional”</w:t>
      </w:r>
      <w:r w:rsidRPr="0011267F">
        <w:rPr>
          <w:rFonts w:hAnsi="Calibri" w:cs="Calibri"/>
          <w:sz w:val="24"/>
          <w:szCs w:val="24"/>
          <w:vertAlign w:val="superscript"/>
          <w:lang w:val="es-ES" w:eastAsia="es-ES"/>
        </w:rPr>
        <w:footnoteReference w:id="87"/>
      </w:r>
      <w:r w:rsidRPr="0011267F">
        <w:rPr>
          <w:rFonts w:hAnsi="Calibri" w:cs="Calibri"/>
          <w:sz w:val="24"/>
          <w:szCs w:val="24"/>
          <w:lang w:val="es-ES" w:eastAsia="es-ES"/>
        </w:rPr>
        <w:t>, en los cuales el elemento trascendente resulta ser la jurisdicción de constitución de la sociedad del exterior</w:t>
      </w:r>
      <w:r>
        <w:rPr>
          <w:rFonts w:hAnsi="Calibri" w:cs="Calibri"/>
          <w:sz w:val="24"/>
          <w:szCs w:val="24"/>
          <w:lang w:val="es-ES" w:eastAsia="es-ES"/>
        </w:rPr>
        <w:t>. Se o</w:t>
      </w:r>
      <w:r w:rsidRPr="0011267F">
        <w:rPr>
          <w:rFonts w:hAnsi="Calibri" w:cs="Calibri"/>
          <w:sz w:val="24"/>
          <w:szCs w:val="24"/>
          <w:lang w:val="es-ES" w:eastAsia="es-ES"/>
        </w:rPr>
        <w:t>po</w:t>
      </w:r>
      <w:r>
        <w:rPr>
          <w:rFonts w:hAnsi="Calibri" w:cs="Calibri"/>
          <w:sz w:val="24"/>
          <w:szCs w:val="24"/>
          <w:lang w:val="es-ES" w:eastAsia="es-ES"/>
        </w:rPr>
        <w:t>nen a esta concepción</w:t>
      </w:r>
      <w:r w:rsidRPr="0011267F">
        <w:rPr>
          <w:rFonts w:hAnsi="Calibri" w:cs="Calibri"/>
          <w:sz w:val="24"/>
          <w:szCs w:val="24"/>
          <w:lang w:val="es-ES" w:eastAsia="es-ES"/>
        </w:rPr>
        <w:t xml:space="preserve"> los </w:t>
      </w:r>
      <w:r>
        <w:rPr>
          <w:rFonts w:hAnsi="Calibri" w:cs="Calibri"/>
          <w:sz w:val="24"/>
          <w:szCs w:val="24"/>
          <w:lang w:val="es-ES" w:eastAsia="es-ES"/>
        </w:rPr>
        <w:t>otros enfoques,</w:t>
      </w:r>
      <w:r w:rsidRPr="0011267F">
        <w:rPr>
          <w:rFonts w:hAnsi="Calibri" w:cs="Calibri"/>
          <w:sz w:val="24"/>
          <w:szCs w:val="24"/>
          <w:lang w:val="es-ES" w:eastAsia="es-ES"/>
        </w:rPr>
        <w:t xml:space="preserve"> en los cuales resultan prevalecientes las características de </w:t>
      </w:r>
      <w:r>
        <w:rPr>
          <w:rFonts w:hAnsi="Calibri" w:cs="Calibri"/>
          <w:sz w:val="24"/>
          <w:szCs w:val="24"/>
          <w:lang w:val="es-ES" w:eastAsia="es-ES"/>
        </w:rPr>
        <w:t xml:space="preserve">la </w:t>
      </w:r>
      <w:r w:rsidRPr="0011267F">
        <w:rPr>
          <w:rFonts w:hAnsi="Calibri" w:cs="Calibri"/>
          <w:sz w:val="24"/>
          <w:szCs w:val="24"/>
          <w:lang w:val="es-ES" w:eastAsia="es-ES"/>
        </w:rPr>
        <w:t xml:space="preserve"> sociedad por sobre la jurisdicción en la que se encuentra constituida.</w:t>
      </w:r>
    </w:p>
    <w:p w:rsidR="00D529C5" w:rsidRPr="0011267F" w:rsidRDefault="00D529C5" w:rsidP="008C215A">
      <w:pPr>
        <w:spacing w:after="0" w:line="240" w:lineRule="auto"/>
        <w:jc w:val="both"/>
        <w:rPr>
          <w:rFonts w:hAnsi="Calibri" w:cs="Calibri"/>
          <w:sz w:val="24"/>
          <w:szCs w:val="24"/>
          <w:lang w:val="es-ES" w:eastAsia="es-ES"/>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color w:val="111111"/>
        </w:rPr>
        <w:t xml:space="preserve">Recuérdese que el carácter de jurisdicción no cooperante deriva de la aplicación del Decreto 589/2013 cuyo análisis se realizará en otro </w:t>
      </w:r>
      <w:r>
        <w:rPr>
          <w:rFonts w:ascii="Calibri" w:hAnsi="Calibri" w:cs="Calibri"/>
          <w:color w:val="111111"/>
        </w:rPr>
        <w:t>apartado</w:t>
      </w:r>
      <w:r w:rsidRPr="0011267F">
        <w:rPr>
          <w:rFonts w:ascii="Calibri" w:hAnsi="Calibri" w:cs="Calibri"/>
          <w:color w:val="111111"/>
        </w:rPr>
        <w:t xml:space="preserve"> de este </w:t>
      </w:r>
      <w:r>
        <w:rPr>
          <w:rFonts w:ascii="Calibri" w:hAnsi="Calibri" w:cs="Calibri"/>
          <w:color w:val="111111"/>
        </w:rPr>
        <w:t>documento.</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0A345F" w:rsidRDefault="00D529C5" w:rsidP="00B609F0">
      <w:pPr>
        <w:pStyle w:val="Heading3"/>
        <w:numPr>
          <w:ilvl w:val="2"/>
          <w:numId w:val="39"/>
        </w:numPr>
        <w:rPr>
          <w:rFonts w:ascii="Calibri" w:hAnsi="Calibri" w:cs="Calibri"/>
          <w:color w:val="000000"/>
          <w:sz w:val="24"/>
          <w:szCs w:val="24"/>
        </w:rPr>
      </w:pPr>
      <w:bookmarkStart w:id="51" w:name="_Toc491335394"/>
      <w:bookmarkStart w:id="52" w:name="_Toc492313337"/>
      <w:r w:rsidRPr="000A345F">
        <w:rPr>
          <w:rFonts w:ascii="Calibri" w:hAnsi="Calibri" w:cs="Calibri"/>
          <w:color w:val="000000"/>
          <w:sz w:val="24"/>
          <w:szCs w:val="24"/>
        </w:rPr>
        <w:t>Rentas pasivas</w:t>
      </w:r>
      <w:bookmarkEnd w:id="51"/>
      <w:bookmarkEnd w:id="52"/>
    </w:p>
    <w:p w:rsidR="00D529C5" w:rsidRPr="0011267F" w:rsidRDefault="00D529C5" w:rsidP="008C215A">
      <w:pPr>
        <w:pStyle w:val="NormalWeb"/>
        <w:shd w:val="clear" w:color="auto" w:fill="FFFFFF"/>
        <w:spacing w:before="0" w:beforeAutospacing="0" w:after="0" w:afterAutospacing="0"/>
        <w:jc w:val="both"/>
        <w:rPr>
          <w:rFonts w:ascii="Calibri" w:hAnsi="Calibri" w:cs="Calibri"/>
          <w:b/>
          <w:color w:val="111111"/>
        </w:rPr>
      </w:pPr>
    </w:p>
    <w:p w:rsidR="00D529C5" w:rsidRPr="0011267F" w:rsidRDefault="00D529C5" w:rsidP="008C215A">
      <w:pPr>
        <w:pStyle w:val="NormalWeb"/>
        <w:spacing w:before="0" w:beforeAutospacing="0" w:after="0" w:afterAutospacing="0"/>
        <w:jc w:val="both"/>
        <w:rPr>
          <w:rFonts w:ascii="Calibri" w:hAnsi="Calibri" w:cs="Calibri"/>
        </w:rPr>
      </w:pPr>
      <w:r w:rsidRPr="0011267F">
        <w:rPr>
          <w:rFonts w:ascii="Calibri" w:hAnsi="Calibri" w:cs="Calibri"/>
        </w:rPr>
        <w:t xml:space="preserve">Lo siguiente a tener en cuenta es la limitación </w:t>
      </w:r>
      <w:r>
        <w:rPr>
          <w:rFonts w:ascii="Calibri" w:hAnsi="Calibri" w:cs="Calibri"/>
        </w:rPr>
        <w:t>respecto a</w:t>
      </w:r>
      <w:r w:rsidRPr="0011267F">
        <w:rPr>
          <w:rFonts w:ascii="Calibri" w:hAnsi="Calibri" w:cs="Calibri"/>
        </w:rPr>
        <w:t xml:space="preserve"> rentas pasivas. Si bien la ley se refiere a intereses, dividendos, regalías y alquileres, la enumeración no es taxativa pues incorpora también “… otras ganancias pasivas similares que indique la reglamentación…</w:t>
      </w:r>
      <w:r w:rsidRPr="0011267F">
        <w:rPr>
          <w:rFonts w:ascii="Calibri" w:hAnsi="Calibri" w:cs="Calibri"/>
          <w:i/>
          <w:lang w:val="es-ES_tradnl"/>
        </w:rPr>
        <w:t>].</w:t>
      </w:r>
      <w:r w:rsidRPr="0011267F">
        <w:rPr>
          <w:rFonts w:ascii="Calibri" w:hAnsi="Calibri" w:cs="Calibri"/>
        </w:rPr>
        <w:t xml:space="preserve"> </w:t>
      </w:r>
    </w:p>
    <w:p w:rsidR="00D529C5" w:rsidRPr="0011267F" w:rsidRDefault="00D529C5" w:rsidP="008C215A">
      <w:pPr>
        <w:pStyle w:val="NormalWeb"/>
        <w:spacing w:before="0" w:beforeAutospacing="0" w:after="0" w:afterAutospacing="0"/>
        <w:jc w:val="both"/>
        <w:rPr>
          <w:rFonts w:ascii="Calibri" w:hAnsi="Calibri" w:cs="Calibri"/>
        </w:rPr>
      </w:pPr>
    </w:p>
    <w:p w:rsidR="00D529C5" w:rsidRPr="0011267F" w:rsidRDefault="00D529C5" w:rsidP="008C215A">
      <w:pPr>
        <w:pStyle w:val="NormalWeb"/>
        <w:spacing w:before="0" w:beforeAutospacing="0" w:after="0" w:afterAutospacing="0"/>
        <w:jc w:val="both"/>
        <w:rPr>
          <w:rFonts w:ascii="Calibri" w:hAnsi="Calibri" w:cs="Calibri"/>
          <w:lang w:val="es-ES_tradnl"/>
        </w:rPr>
      </w:pPr>
      <w:r w:rsidRPr="0011267F">
        <w:rPr>
          <w:rFonts w:ascii="Calibri" w:hAnsi="Calibri" w:cs="Calibri"/>
        </w:rPr>
        <w:t>La norma reglamentaria del gravamen indica que:</w:t>
      </w:r>
      <w:r w:rsidRPr="0011267F">
        <w:rPr>
          <w:rFonts w:ascii="Calibri" w:hAnsi="Calibri" w:cs="Calibri"/>
          <w:lang w:val="es-ES_tradnl"/>
        </w:rPr>
        <w:t xml:space="preserve"> </w:t>
      </w:r>
    </w:p>
    <w:p w:rsidR="00D529C5" w:rsidRPr="0011267F" w:rsidRDefault="00D529C5" w:rsidP="008C215A">
      <w:pPr>
        <w:pStyle w:val="NormalWeb"/>
        <w:spacing w:before="0" w:beforeAutospacing="0" w:after="0" w:afterAutospacing="0"/>
        <w:jc w:val="both"/>
        <w:rPr>
          <w:rFonts w:ascii="Calibri" w:hAnsi="Calibri" w:cs="Calibri"/>
          <w:lang w:val="es-ES_tradnl"/>
        </w:rPr>
      </w:pPr>
    </w:p>
    <w:p w:rsidR="00D529C5" w:rsidRPr="0011267F" w:rsidRDefault="00D529C5" w:rsidP="008C215A">
      <w:pPr>
        <w:spacing w:after="0" w:line="240" w:lineRule="auto"/>
        <w:jc w:val="both"/>
        <w:rPr>
          <w:rFonts w:hAnsi="Calibri" w:cs="Calibri"/>
          <w:i/>
          <w:sz w:val="24"/>
          <w:szCs w:val="24"/>
          <w:lang w:val="es-ES_tradnl"/>
        </w:rPr>
      </w:pPr>
      <w:r w:rsidRPr="0011267F">
        <w:rPr>
          <w:rFonts w:hAnsi="Calibri" w:cs="Calibri"/>
          <w:i/>
          <w:sz w:val="24"/>
          <w:szCs w:val="24"/>
          <w:lang w:val="es-ES_tradnl"/>
        </w:rPr>
        <w:t>[…] se considerarán actividades que originan rentas pasivas aquellas cuyos ingresos provengan del alquiler de inmuebles, de préstamos, de la enajenación de acciones, cuotas o participaciones sociales -incluidas las cuotas partes de los fondos comunes de inversión o entidades de otra denominación que cumplan iguales funciones, de colocaciones en entidades financieras o bancarias, en títulos públicos, en instrumentos y/o contratos derivados que no constituyan una cobertura de riesgo, o estén constituidos por dividendos o regalías.</w:t>
      </w:r>
    </w:p>
    <w:p w:rsidR="00D529C5" w:rsidRPr="0011267F" w:rsidRDefault="00D529C5" w:rsidP="008C215A">
      <w:pPr>
        <w:spacing w:after="0" w:line="240" w:lineRule="auto"/>
        <w:jc w:val="both"/>
        <w:rPr>
          <w:rFonts w:hAnsi="Calibri" w:cs="Calibri"/>
          <w:i/>
          <w:sz w:val="24"/>
          <w:szCs w:val="24"/>
          <w:lang w:val="es-ES_tradnl"/>
        </w:rPr>
      </w:pPr>
      <w:r w:rsidRPr="0011267F">
        <w:rPr>
          <w:rFonts w:hAnsi="Calibri" w:cs="Calibri"/>
          <w:i/>
          <w:sz w:val="24"/>
          <w:szCs w:val="24"/>
          <w:lang w:val="es-ES_tradnl"/>
        </w:rPr>
        <w:t>El alquiler de inmuebles a que se refiere el párrafo anterior no será considerado una renta pasiva, cuando el mismo derive de una actividad empresaria habitual que comprenda la locación y administración de dichos bienes]</w:t>
      </w:r>
      <w:r w:rsidRPr="0011267F">
        <w:rPr>
          <w:rStyle w:val="FootnoteReference"/>
          <w:rFonts w:hAnsi="Calibri" w:cs="Calibri"/>
          <w:i/>
          <w:sz w:val="24"/>
          <w:szCs w:val="24"/>
          <w:lang w:val="es-ES_tradnl"/>
        </w:rPr>
        <w:footnoteReference w:id="88"/>
      </w:r>
      <w:r w:rsidRPr="0011267F">
        <w:rPr>
          <w:rFonts w:hAnsi="Calibri" w:cs="Calibri"/>
          <w:i/>
          <w:sz w:val="24"/>
          <w:szCs w:val="24"/>
          <w:lang w:val="es-ES_tradnl"/>
        </w:rPr>
        <w:t>.</w:t>
      </w:r>
    </w:p>
    <w:p w:rsidR="00D529C5" w:rsidRPr="0011267F" w:rsidRDefault="00D529C5" w:rsidP="008C215A">
      <w:pPr>
        <w:pStyle w:val="NormalWeb"/>
        <w:spacing w:before="0" w:beforeAutospacing="0" w:after="0" w:afterAutospacing="0"/>
        <w:jc w:val="both"/>
        <w:rPr>
          <w:rFonts w:ascii="Calibri" w:hAnsi="Calibri" w:cs="Calibri"/>
        </w:rPr>
      </w:pPr>
    </w:p>
    <w:p w:rsidR="00D529C5" w:rsidRPr="0011267F" w:rsidRDefault="00D529C5" w:rsidP="008C215A">
      <w:pPr>
        <w:pStyle w:val="NormalWeb"/>
        <w:spacing w:before="0" w:beforeAutospacing="0" w:after="0" w:afterAutospacing="0"/>
        <w:jc w:val="both"/>
        <w:rPr>
          <w:rFonts w:ascii="Calibri" w:hAnsi="Calibri" w:cs="Calibri"/>
        </w:rPr>
      </w:pPr>
      <w:r w:rsidRPr="0011267F">
        <w:rPr>
          <w:rFonts w:ascii="Calibri" w:hAnsi="Calibri" w:cs="Calibri"/>
        </w:rPr>
        <w:t>Deben tenerse presente otras limitaciones vinculadas a la aplicación del régimen:</w:t>
      </w:r>
    </w:p>
    <w:p w:rsidR="00D529C5" w:rsidRPr="0011267F" w:rsidRDefault="00D529C5" w:rsidP="008C215A">
      <w:pPr>
        <w:spacing w:after="0" w:line="240" w:lineRule="auto"/>
        <w:jc w:val="both"/>
        <w:rPr>
          <w:rFonts w:hAnsi="Calibri" w:cs="Calibri"/>
          <w:i/>
          <w:sz w:val="24"/>
          <w:szCs w:val="24"/>
          <w:lang w:val="es-ES_tradnl"/>
        </w:rPr>
      </w:pPr>
    </w:p>
    <w:p w:rsidR="00D529C5" w:rsidRPr="0011267F" w:rsidRDefault="00D529C5" w:rsidP="008C215A">
      <w:pPr>
        <w:spacing w:after="0" w:line="240" w:lineRule="auto"/>
        <w:jc w:val="both"/>
        <w:rPr>
          <w:rFonts w:hAnsi="Calibri" w:cs="Calibri"/>
          <w:i/>
          <w:sz w:val="24"/>
          <w:szCs w:val="24"/>
          <w:lang w:val="es-ES_tradnl"/>
        </w:rPr>
      </w:pPr>
      <w:r w:rsidRPr="0011267F">
        <w:rPr>
          <w:rFonts w:hAnsi="Calibri" w:cs="Calibri"/>
          <w:i/>
          <w:sz w:val="24"/>
          <w:szCs w:val="24"/>
          <w:lang w:val="es-ES_tradnl"/>
        </w:rPr>
        <w:t>[N]o corresponderá aplicar los criterios de imputación… previstos en los artículos 133, inciso a) y 148 de la ley…cuando como mínimo el CINCUENTA POR CIENTO (50 %) de las ganancias de la sociedad constituida en el exterior provenga de la realización de actividades comerciales, industriales, agropecuarias, mineras, forestales, de prestación de servicios -incluidos los bancarios y de seguros- y, en general, de toda actividad distinta de aquellas que originen rentas pasivas. Dicho porcentaje surgirá de relacionar la ganancia bruta impositiva del pertinente ejercicio fiscal de la referida sociedad, atribuible a las actividades definidas precedentemente, con la ganancia bruta impositiva correspondiente a la totalidad de las actividades desarrolladas por la misma, considerando idénticas normas y período…]</w:t>
      </w:r>
      <w:r w:rsidRPr="0011267F">
        <w:rPr>
          <w:rStyle w:val="FootnoteReference"/>
          <w:rFonts w:hAnsi="Calibri" w:cs="Calibri"/>
          <w:i/>
          <w:sz w:val="24"/>
          <w:szCs w:val="24"/>
          <w:lang w:val="es-ES_tradnl"/>
        </w:rPr>
        <w:footnoteReference w:id="89"/>
      </w:r>
      <w:r w:rsidRPr="0011267F">
        <w:rPr>
          <w:rFonts w:hAnsi="Calibri" w:cs="Calibri"/>
          <w:i/>
          <w:sz w:val="24"/>
          <w:szCs w:val="24"/>
          <w:lang w:val="es-ES_tradnl"/>
        </w:rPr>
        <w:t>.</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color w:val="111111"/>
        </w:rPr>
        <w:t>A fin de determinar el porcentaje mínimo de ganancias que permitirá aplicar la conclusión del artículo que antecede se aplicará</w:t>
      </w:r>
      <w:r>
        <w:rPr>
          <w:rFonts w:ascii="Calibri" w:hAnsi="Calibri" w:cs="Calibri"/>
          <w:color w:val="111111"/>
        </w:rPr>
        <w:t>,</w:t>
      </w:r>
      <w:r w:rsidRPr="0011267F">
        <w:rPr>
          <w:rFonts w:ascii="Calibri" w:hAnsi="Calibri" w:cs="Calibri"/>
          <w:color w:val="111111"/>
        </w:rPr>
        <w:t xml:space="preserve"> ejercicio </w:t>
      </w:r>
      <w:r>
        <w:rPr>
          <w:rFonts w:ascii="Calibri" w:hAnsi="Calibri" w:cs="Calibri"/>
          <w:color w:val="111111"/>
        </w:rPr>
        <w:t xml:space="preserve">fiscal </w:t>
      </w:r>
      <w:r w:rsidRPr="0011267F">
        <w:rPr>
          <w:rFonts w:ascii="Calibri" w:hAnsi="Calibri" w:cs="Calibri"/>
          <w:color w:val="111111"/>
        </w:rPr>
        <w:t>tras</w:t>
      </w:r>
      <w:r>
        <w:rPr>
          <w:rFonts w:ascii="Calibri" w:hAnsi="Calibri" w:cs="Calibri"/>
          <w:color w:val="111111"/>
        </w:rPr>
        <w:t xml:space="preserve"> otro</w:t>
      </w:r>
      <w:r w:rsidRPr="0011267F">
        <w:rPr>
          <w:rFonts w:ascii="Calibri" w:hAnsi="Calibri" w:cs="Calibri"/>
          <w:color w:val="111111"/>
        </w:rPr>
        <w:t xml:space="preserve"> de la sociedad del exterior, la siguiente fórmula:</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u w:val="single"/>
        </w:rPr>
      </w:pPr>
    </w:p>
    <w:p w:rsidR="00D529C5" w:rsidRPr="0011267F" w:rsidRDefault="00D529C5" w:rsidP="00921254">
      <w:pPr>
        <w:pStyle w:val="NormalWeb"/>
        <w:shd w:val="clear" w:color="auto" w:fill="FFFFFF"/>
        <w:spacing w:before="0" w:beforeAutospacing="0" w:after="0" w:afterAutospacing="0"/>
        <w:jc w:val="center"/>
        <w:rPr>
          <w:rFonts w:ascii="Calibri" w:hAnsi="Calibri" w:cs="Calibri"/>
          <w:color w:val="111111"/>
          <w:u w:val="single"/>
        </w:rPr>
      </w:pPr>
      <w:r w:rsidRPr="0011267F">
        <w:rPr>
          <w:rFonts w:ascii="Calibri" w:hAnsi="Calibri" w:cs="Calibri"/>
          <w:color w:val="111111"/>
          <w:u w:val="single"/>
        </w:rPr>
        <w:t>Ganancia bruta impositiva por actividades no pasivas x 100</w:t>
      </w:r>
    </w:p>
    <w:p w:rsidR="00D529C5" w:rsidRPr="0011267F" w:rsidRDefault="00D529C5" w:rsidP="00921254">
      <w:pPr>
        <w:pStyle w:val="NormalWeb"/>
        <w:shd w:val="clear" w:color="auto" w:fill="FFFFFF"/>
        <w:spacing w:before="0" w:beforeAutospacing="0" w:after="0" w:afterAutospacing="0"/>
        <w:jc w:val="center"/>
        <w:rPr>
          <w:rFonts w:ascii="Calibri" w:hAnsi="Calibri" w:cs="Calibri"/>
          <w:color w:val="111111"/>
        </w:rPr>
      </w:pPr>
      <w:r w:rsidRPr="0011267F">
        <w:rPr>
          <w:rFonts w:ascii="Calibri" w:hAnsi="Calibri" w:cs="Calibri"/>
          <w:color w:val="111111"/>
        </w:rPr>
        <w:t>Ganancia bruta impositiva total</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color w:val="111111"/>
        </w:rPr>
        <w:t xml:space="preserve">El término ganancia bruta comprende a las rentas exentas o no gravadas en la jurisdicción extranjera.  En el caso de encontrarnos ante un país con nula tributación, se considerarán los resultados contables de la entidad, que surjan de los estados financieros y económicos respectivos, debidamente auditados por profesional en la materia. Existe un vacío normativo en cuanto a cómo paliar la ausencia de exigencia por parte de la jurisdicción de radicación de la sociedad del exterior, de confeccionar estados contables o de que </w:t>
      </w:r>
      <w:r>
        <w:rPr>
          <w:rFonts w:ascii="Calibri" w:hAnsi="Calibri" w:cs="Calibri"/>
          <w:color w:val="111111"/>
        </w:rPr>
        <w:t>é</w:t>
      </w:r>
      <w:r w:rsidRPr="0011267F">
        <w:rPr>
          <w:rFonts w:ascii="Calibri" w:hAnsi="Calibri" w:cs="Calibri"/>
          <w:color w:val="111111"/>
        </w:rPr>
        <w:t>st</w:t>
      </w:r>
      <w:r>
        <w:rPr>
          <w:rFonts w:ascii="Calibri" w:hAnsi="Calibri" w:cs="Calibri"/>
          <w:color w:val="111111"/>
        </w:rPr>
        <w:t>os</w:t>
      </w:r>
      <w:r w:rsidRPr="0011267F">
        <w:rPr>
          <w:rFonts w:ascii="Calibri" w:hAnsi="Calibri" w:cs="Calibri"/>
          <w:color w:val="111111"/>
        </w:rPr>
        <w:t xml:space="preserve"> se encuentren auditados por un profesional habilitado. </w:t>
      </w:r>
      <w:r>
        <w:rPr>
          <w:rFonts w:ascii="Calibri" w:hAnsi="Calibri" w:cs="Calibri"/>
          <w:color w:val="111111"/>
        </w:rPr>
        <w:t xml:space="preserve">En la práctica, se encuentran situaciones más extremas en las que no se registra la obligación de confeccionar estados contables, por lo que, se deberían confeccionar balances ad-hoc. </w:t>
      </w:r>
      <w:r w:rsidRPr="0011267F">
        <w:rPr>
          <w:rFonts w:ascii="Calibri" w:hAnsi="Calibri" w:cs="Calibri"/>
          <w:color w:val="111111"/>
        </w:rPr>
        <w:t>Al respecto, vale recordar que a los fines de la Ley 27.260 se habilitó la confección de balances especiales a una determinada fecha</w:t>
      </w:r>
      <w:r>
        <w:rPr>
          <w:rFonts w:ascii="Calibri" w:hAnsi="Calibri" w:cs="Calibri"/>
          <w:color w:val="111111"/>
        </w:rPr>
        <w:t xml:space="preserve"> a los fines de aplicar sus disposiciones</w:t>
      </w:r>
      <w:r w:rsidRPr="0011267F">
        <w:rPr>
          <w:rStyle w:val="FootnoteReference"/>
          <w:rFonts w:ascii="Calibri" w:hAnsi="Calibri" w:cs="Calibri"/>
          <w:color w:val="111111"/>
        </w:rPr>
        <w:footnoteReference w:id="90"/>
      </w:r>
      <w:r w:rsidRPr="0011267F">
        <w:rPr>
          <w:rFonts w:ascii="Calibri" w:hAnsi="Calibri" w:cs="Calibri"/>
          <w:color w:val="111111"/>
        </w:rPr>
        <w:t>.</w:t>
      </w:r>
    </w:p>
    <w:p w:rsidR="00D529C5" w:rsidRPr="0011267F" w:rsidRDefault="00D529C5" w:rsidP="008C215A">
      <w:pPr>
        <w:pStyle w:val="NormalWeb"/>
        <w:shd w:val="clear" w:color="auto" w:fill="FFFFFF"/>
        <w:spacing w:before="0" w:beforeAutospacing="0" w:after="0" w:afterAutospacing="0"/>
        <w:jc w:val="both"/>
        <w:rPr>
          <w:rFonts w:ascii="Calibri" w:hAnsi="Calibri" w:cs="Calibri"/>
          <w:b/>
          <w:color w:val="111111"/>
        </w:rPr>
      </w:pPr>
    </w:p>
    <w:p w:rsidR="00D529C5" w:rsidRPr="00921254" w:rsidRDefault="00D529C5" w:rsidP="008C215A">
      <w:pPr>
        <w:pStyle w:val="NormalWeb"/>
        <w:shd w:val="clear" w:color="auto" w:fill="FFFFFF"/>
        <w:spacing w:before="0" w:beforeAutospacing="0" w:after="0" w:afterAutospacing="0"/>
        <w:jc w:val="both"/>
        <w:rPr>
          <w:rFonts w:ascii="Calibri" w:hAnsi="Calibri" w:cs="Calibri"/>
          <w:color w:val="111111"/>
        </w:rPr>
      </w:pPr>
      <w:r>
        <w:rPr>
          <w:rFonts w:ascii="Calibri" w:hAnsi="Calibri" w:cs="Calibri"/>
          <w:color w:val="111111"/>
        </w:rPr>
        <w:t xml:space="preserve">El límite que fijó el reglamento, a partir del cual se aplica el régimen puede llevar a arbitrariedades tal como se ejemplifica a continuación. </w:t>
      </w:r>
      <w:r w:rsidRPr="00921254">
        <w:rPr>
          <w:rFonts w:ascii="Calibri" w:hAnsi="Calibri" w:cs="Calibri"/>
          <w:color w:val="111111"/>
        </w:rPr>
        <w:t>Un accionista local que posee el 5% de participación en una sociedad ubicada en un</w:t>
      </w:r>
      <w:r>
        <w:rPr>
          <w:rFonts w:ascii="Calibri" w:hAnsi="Calibri" w:cs="Calibri"/>
          <w:color w:val="111111"/>
        </w:rPr>
        <w:t>a jurisdicción no cooperante</w:t>
      </w:r>
      <w:r w:rsidRPr="00921254">
        <w:rPr>
          <w:rFonts w:ascii="Calibri" w:hAnsi="Calibri" w:cs="Calibri"/>
          <w:color w:val="111111"/>
        </w:rPr>
        <w:t xml:space="preserve"> que solo genera rentas pasivas, debe aplicar </w:t>
      </w:r>
      <w:r>
        <w:rPr>
          <w:rFonts w:ascii="Calibri" w:hAnsi="Calibri" w:cs="Calibri"/>
          <w:color w:val="111111"/>
        </w:rPr>
        <w:t>el régimen de transparencia</w:t>
      </w:r>
      <w:r w:rsidRPr="00921254">
        <w:rPr>
          <w:rFonts w:ascii="Calibri" w:hAnsi="Calibri" w:cs="Calibri"/>
          <w:color w:val="111111"/>
        </w:rPr>
        <w:t xml:space="preserve">; mientras que otro accionista local que posee el 90% de una sociedad ubicada en una jurisdicción no cooperante cuyas rentas no pasivas representan el 51%, no debe aplicar el régimen, aunque - en términos absolutos - las rentas pasivas obtenidas puedan ser equivalentes a las obtenidas por la sociedad del primer accionista. </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color w:val="111111"/>
        </w:rPr>
        <w:t xml:space="preserve">Este artículo transcripto en último término habilita a que, el sujeto del país aplique el mecanismo de imputación general de rentas de la </w:t>
      </w:r>
      <w:r>
        <w:rPr>
          <w:rFonts w:ascii="Calibri" w:hAnsi="Calibri" w:cs="Calibri"/>
          <w:color w:val="111111"/>
        </w:rPr>
        <w:t>ley del impuesto</w:t>
      </w:r>
      <w:r w:rsidRPr="0011267F">
        <w:rPr>
          <w:rFonts w:ascii="Calibri" w:hAnsi="Calibri" w:cs="Calibri"/>
          <w:color w:val="111111"/>
        </w:rPr>
        <w:t>, cuando la sociedad extranjera se encuentre en una jurisdicción no cooperante siempre que obtenga la mayor parte de sus ingr</w:t>
      </w:r>
      <w:r>
        <w:rPr>
          <w:rFonts w:ascii="Calibri" w:hAnsi="Calibri" w:cs="Calibri"/>
          <w:color w:val="111111"/>
        </w:rPr>
        <w:t>esos de actividades no pasivas.</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color w:val="111111"/>
        </w:rPr>
        <w:t>Ahora bien, si las rentas pasivas constituyen más del 50% de las ganancias brutas de la sociedad extranjera, el sujeto del país deberá imputar en forma prácticamente inmediata -en atención al cierre de ejercicio de la sociedad constituida en el exterior- la proporción respectiva sobre el resultado obtenido por la misma en concepto de rentas pasivas y solo las rentas de esa naturaleza serán las alcanzadas por el mecanismo específico de imputación.</w:t>
      </w:r>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A través del Decreto se previó que en otras circunstancias también aplique este criterio particular de imputación de rentas, al encontrarnos con sociedades radicadas en cualquier otro tipo de jurisdicción o reciban un tratamiento fiscal especial que encuadren en la categorización tributaria de baja o nula tributación</w:t>
      </w:r>
      <w:r w:rsidRPr="0011267F">
        <w:rPr>
          <w:rStyle w:val="FootnoteReference"/>
          <w:rFonts w:hAnsi="Calibri" w:cs="Calibri"/>
          <w:sz w:val="24"/>
          <w:szCs w:val="24"/>
        </w:rPr>
        <w:footnoteReference w:id="91"/>
      </w:r>
      <w:r w:rsidRPr="0011267F">
        <w:rPr>
          <w:rFonts w:hAnsi="Calibri" w:cs="Calibri"/>
          <w:sz w:val="24"/>
          <w:szCs w:val="24"/>
        </w:rPr>
        <w:t>.</w:t>
      </w:r>
    </w:p>
    <w:p w:rsidR="00D529C5" w:rsidRPr="0011267F" w:rsidRDefault="00D529C5" w:rsidP="008C215A">
      <w:pPr>
        <w:pStyle w:val="NormalWeb"/>
        <w:shd w:val="clear" w:color="auto" w:fill="FFFFFF"/>
        <w:spacing w:before="0" w:beforeAutospacing="0" w:after="0" w:afterAutospacing="0"/>
        <w:jc w:val="both"/>
        <w:rPr>
          <w:rFonts w:ascii="Calibri" w:hAnsi="Calibri" w:cs="Calibri"/>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rPr>
      </w:pPr>
      <w:r w:rsidRPr="0011267F">
        <w:rPr>
          <w:rFonts w:ascii="Calibri" w:hAnsi="Calibri" w:cs="Calibri"/>
        </w:rPr>
        <w:t>El régimen especial de imputación también alcanzará a las inversiones que sociedades constituidas en jurisdicciones no cooperantes mantengan en su condición de socias o accionistas de otras sociedades que se encuentren constituidas o ubicadas en jurisdicciones también no cooperantes.</w:t>
      </w:r>
    </w:p>
    <w:p w:rsidR="00D529C5" w:rsidRPr="0011267F" w:rsidRDefault="00D529C5" w:rsidP="008C215A">
      <w:pPr>
        <w:pStyle w:val="NormalWeb"/>
        <w:shd w:val="clear" w:color="auto" w:fill="FFFFFF"/>
        <w:spacing w:before="0" w:beforeAutospacing="0" w:after="0" w:afterAutospacing="0"/>
        <w:jc w:val="both"/>
        <w:rPr>
          <w:rFonts w:ascii="Calibri" w:hAnsi="Calibri" w:cs="Calibri"/>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i/>
        </w:rPr>
        <w:t>[C]on esta medida, el decreto procura desbaratar el intento de eludir estas disposiciones a través de la mera interposición de una o más sociedades también constituidas en paraísos fiscales]</w:t>
      </w:r>
      <w:r w:rsidRPr="0011267F">
        <w:rPr>
          <w:rStyle w:val="FootnoteReference"/>
          <w:rFonts w:ascii="Calibri" w:hAnsi="Calibri" w:cs="Calibri"/>
        </w:rPr>
        <w:footnoteReference w:id="92"/>
      </w:r>
      <w:r w:rsidRPr="0011267F">
        <w:rPr>
          <w:rFonts w:ascii="Calibri" w:hAnsi="Calibri" w:cs="Calibri"/>
        </w:rPr>
        <w:t>.</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8C215A">
      <w:pPr>
        <w:spacing w:after="0" w:line="240" w:lineRule="auto"/>
        <w:jc w:val="both"/>
        <w:rPr>
          <w:rFonts w:hAnsi="Calibri" w:cs="Calibri"/>
          <w:sz w:val="24"/>
          <w:szCs w:val="24"/>
        </w:rPr>
      </w:pPr>
      <w:r w:rsidRPr="0011267F">
        <w:rPr>
          <w:rFonts w:hAnsi="Calibri" w:cs="Calibri"/>
          <w:color w:val="111111"/>
          <w:sz w:val="24"/>
          <w:szCs w:val="24"/>
        </w:rPr>
        <w:t>Finalmente vale señalar que,</w:t>
      </w:r>
      <w:r>
        <w:rPr>
          <w:rFonts w:hAnsi="Calibri" w:cs="Calibri"/>
          <w:color w:val="111111"/>
          <w:sz w:val="24"/>
          <w:szCs w:val="24"/>
        </w:rPr>
        <w:t xml:space="preserve"> existe posición doctrinaria en cuanto a que el </w:t>
      </w:r>
      <w:r w:rsidRPr="0011267F">
        <w:rPr>
          <w:rFonts w:hAnsi="Calibri" w:cs="Calibri"/>
          <w:color w:val="111111"/>
          <w:sz w:val="24"/>
          <w:szCs w:val="24"/>
        </w:rPr>
        <w:t>reconocimiento de la ganancia por las rentas pasivas que obtuvo la sociedad por acciones se reali</w:t>
      </w:r>
      <w:r>
        <w:rPr>
          <w:rFonts w:hAnsi="Calibri" w:cs="Calibri"/>
          <w:color w:val="111111"/>
          <w:sz w:val="24"/>
          <w:szCs w:val="24"/>
        </w:rPr>
        <w:t>ce utilizando las normas del i</w:t>
      </w:r>
      <w:r w:rsidRPr="0011267F">
        <w:rPr>
          <w:rFonts w:hAnsi="Calibri" w:cs="Calibri"/>
          <w:color w:val="111111"/>
          <w:sz w:val="24"/>
          <w:szCs w:val="24"/>
        </w:rPr>
        <w:t xml:space="preserve">mpuesto a las </w:t>
      </w:r>
      <w:r>
        <w:rPr>
          <w:rFonts w:hAnsi="Calibri" w:cs="Calibri"/>
          <w:color w:val="111111"/>
          <w:sz w:val="24"/>
          <w:szCs w:val="24"/>
        </w:rPr>
        <w:t>g</w:t>
      </w:r>
      <w:r w:rsidRPr="0011267F">
        <w:rPr>
          <w:rFonts w:hAnsi="Calibri" w:cs="Calibri"/>
          <w:color w:val="111111"/>
          <w:sz w:val="24"/>
          <w:szCs w:val="24"/>
        </w:rPr>
        <w:t>anancias, descartando la aplicación de las leyes de los impuestos análogos que rijan en los países de constitución de la sociedad. Est</w:t>
      </w:r>
      <w:r>
        <w:rPr>
          <w:rFonts w:hAnsi="Calibri" w:cs="Calibri"/>
          <w:color w:val="111111"/>
          <w:sz w:val="24"/>
          <w:szCs w:val="24"/>
        </w:rPr>
        <w:t xml:space="preserve">e enfoque se basa en que, </w:t>
      </w:r>
      <w:r w:rsidRPr="0011267F">
        <w:rPr>
          <w:rFonts w:hAnsi="Calibri" w:cs="Calibri"/>
          <w:color w:val="111111"/>
          <w:sz w:val="24"/>
          <w:szCs w:val="24"/>
        </w:rPr>
        <w:t xml:space="preserve">cuando el legislador quiso que se aplicaran las normas del impuesto análogo, así lo dejó expresado en el artículo 149 de la </w:t>
      </w:r>
      <w:r>
        <w:rPr>
          <w:rFonts w:hAnsi="Calibri" w:cs="Calibri"/>
          <w:color w:val="111111"/>
          <w:sz w:val="24"/>
          <w:szCs w:val="24"/>
        </w:rPr>
        <w:t>ley</w:t>
      </w:r>
      <w:r w:rsidRPr="0011267F">
        <w:rPr>
          <w:rFonts w:hAnsi="Calibri" w:cs="Calibri"/>
          <w:color w:val="111111"/>
          <w:sz w:val="24"/>
          <w:szCs w:val="24"/>
        </w:rPr>
        <w:t xml:space="preserve"> respecto de las sociedades de personas, no rigiendo por </w:t>
      </w:r>
      <w:r>
        <w:rPr>
          <w:rFonts w:hAnsi="Calibri" w:cs="Calibri"/>
          <w:color w:val="111111"/>
          <w:sz w:val="24"/>
          <w:szCs w:val="24"/>
        </w:rPr>
        <w:t xml:space="preserve">lo </w:t>
      </w:r>
      <w:r w:rsidRPr="0011267F">
        <w:rPr>
          <w:rFonts w:hAnsi="Calibri" w:cs="Calibri"/>
          <w:color w:val="111111"/>
          <w:sz w:val="24"/>
          <w:szCs w:val="24"/>
        </w:rPr>
        <w:t xml:space="preserve">tanto para los casos regidos por el artículo </w:t>
      </w:r>
      <w:r w:rsidRPr="00171C6D">
        <w:rPr>
          <w:rFonts w:hAnsi="Calibri" w:cs="Calibri"/>
          <w:color w:val="111111"/>
          <w:sz w:val="24"/>
          <w:szCs w:val="24"/>
        </w:rPr>
        <w:t>148</w:t>
      </w:r>
      <w:r w:rsidRPr="0011267F">
        <w:rPr>
          <w:rFonts w:hAnsi="Calibri" w:cs="Calibri"/>
          <w:color w:val="111111"/>
          <w:sz w:val="24"/>
          <w:szCs w:val="24"/>
        </w:rPr>
        <w:t>.</w:t>
      </w:r>
      <w:r w:rsidRPr="0011267F">
        <w:rPr>
          <w:rFonts w:hAnsi="Calibri" w:cs="Calibri"/>
          <w:sz w:val="24"/>
          <w:szCs w:val="24"/>
        </w:rPr>
        <w:t xml:space="preserve"> </w:t>
      </w:r>
      <w:r>
        <w:rPr>
          <w:rFonts w:hAnsi="Calibri" w:cs="Calibri"/>
          <w:sz w:val="24"/>
          <w:szCs w:val="24"/>
        </w:rPr>
        <w:t>Debe mencionarse que existe posición en contrario que, propone seguir las normas del gravamen extranjero, dicha postura a nuestro criterio es más ajustada a una interpretación armónica de las normas entre ellas de las disposiciones del reglamento</w:t>
      </w:r>
      <w:r>
        <w:rPr>
          <w:rStyle w:val="FootnoteReference"/>
          <w:rFonts w:hAnsi="Calibri" w:cs="Calibri"/>
          <w:sz w:val="24"/>
          <w:szCs w:val="24"/>
        </w:rPr>
        <w:footnoteReference w:id="93"/>
      </w:r>
      <w:r>
        <w:rPr>
          <w:rFonts w:hAnsi="Calibri" w:cs="Calibri"/>
          <w:sz w:val="24"/>
          <w:szCs w:val="24"/>
        </w:rPr>
        <w:t>.</w:t>
      </w:r>
    </w:p>
    <w:p w:rsidR="00D529C5" w:rsidRPr="0011267F" w:rsidRDefault="00D529C5" w:rsidP="008C215A">
      <w:pPr>
        <w:spacing w:after="0" w:line="240" w:lineRule="auto"/>
        <w:jc w:val="both"/>
        <w:rPr>
          <w:rFonts w:hAnsi="Calibri" w:cs="Calibri"/>
          <w:sz w:val="24"/>
          <w:szCs w:val="24"/>
        </w:rPr>
      </w:pPr>
    </w:p>
    <w:p w:rsidR="00D529C5" w:rsidRPr="000A345F" w:rsidRDefault="00D529C5" w:rsidP="000A345F">
      <w:pPr>
        <w:spacing w:after="0" w:line="240" w:lineRule="auto"/>
        <w:jc w:val="both"/>
        <w:rPr>
          <w:rFonts w:hAnsi="Calibri" w:cs="Calibri"/>
          <w:sz w:val="24"/>
          <w:szCs w:val="24"/>
        </w:rPr>
      </w:pPr>
      <w:r>
        <w:rPr>
          <w:rFonts w:hAnsi="Calibri" w:cs="Calibri"/>
          <w:sz w:val="24"/>
          <w:szCs w:val="24"/>
        </w:rPr>
        <w:t>Por último</w:t>
      </w:r>
      <w:r w:rsidRPr="0011267F">
        <w:rPr>
          <w:rFonts w:hAnsi="Calibri" w:cs="Calibri"/>
          <w:sz w:val="24"/>
          <w:szCs w:val="24"/>
        </w:rPr>
        <w:t>, debemos señalar que si bien el concepto de rentas pasivas se enlaza como se vio con la determinación de las ganancias de fuente extranjera y la aplicación del principio de transparencia fiscal, fue necesario evaluar para otros fines si, en una escisión era suficiente que la entidad continuadora en la reorganización prosiguiera desarrollando alguna o todas las actividades de la empresa restructuradas para cumplir con la exigencia de mantenimiento de la actividad</w:t>
      </w:r>
      <w:r w:rsidRPr="0011267F">
        <w:rPr>
          <w:rStyle w:val="FootnoteReference"/>
          <w:rFonts w:hAnsi="Calibri" w:cs="Calibri"/>
          <w:sz w:val="24"/>
          <w:szCs w:val="24"/>
        </w:rPr>
        <w:footnoteReference w:id="94"/>
      </w:r>
      <w:r w:rsidRPr="0011267F">
        <w:rPr>
          <w:rFonts w:hAnsi="Calibri" w:cs="Calibri"/>
          <w:sz w:val="24"/>
          <w:szCs w:val="24"/>
        </w:rPr>
        <w:t>; se acordó a la “inversión” el concepto de actividad a los fines de la reorganización libre de impuesto prevista en el ordenamiento fiscal que nos ocupa</w:t>
      </w:r>
      <w:r w:rsidRPr="0011267F">
        <w:rPr>
          <w:rStyle w:val="FootnoteReference"/>
          <w:rFonts w:hAnsi="Calibri" w:cs="Calibri"/>
          <w:sz w:val="24"/>
          <w:szCs w:val="24"/>
        </w:rPr>
        <w:footnoteReference w:id="95"/>
      </w:r>
      <w:r>
        <w:rPr>
          <w:rFonts w:hAnsi="Calibri" w:cs="Calibri"/>
          <w:sz w:val="24"/>
          <w:szCs w:val="24"/>
        </w:rPr>
        <w:t>.</w:t>
      </w:r>
    </w:p>
    <w:p w:rsidR="00D529C5" w:rsidRPr="000A345F" w:rsidRDefault="00D529C5" w:rsidP="00B609F0">
      <w:pPr>
        <w:pStyle w:val="Heading3"/>
        <w:numPr>
          <w:ilvl w:val="2"/>
          <w:numId w:val="39"/>
        </w:numPr>
        <w:rPr>
          <w:rFonts w:ascii="Calibri" w:hAnsi="Calibri" w:cs="Calibri"/>
          <w:color w:val="000000"/>
          <w:sz w:val="24"/>
          <w:szCs w:val="24"/>
        </w:rPr>
      </w:pPr>
      <w:bookmarkStart w:id="53" w:name="_Toc491335395"/>
      <w:bookmarkStart w:id="54" w:name="_Toc492313338"/>
      <w:r>
        <w:rPr>
          <w:rFonts w:ascii="Calibri" w:hAnsi="Calibri" w:cs="Calibri"/>
          <w:color w:val="000000"/>
          <w:sz w:val="24"/>
          <w:szCs w:val="24"/>
        </w:rPr>
        <w:t>I</w:t>
      </w:r>
      <w:r w:rsidRPr="000A345F">
        <w:rPr>
          <w:rFonts w:ascii="Calibri" w:hAnsi="Calibri" w:cs="Calibri"/>
          <w:color w:val="000000"/>
          <w:sz w:val="24"/>
          <w:szCs w:val="24"/>
        </w:rPr>
        <w:t>mputación</w:t>
      </w:r>
      <w:bookmarkEnd w:id="53"/>
      <w:bookmarkEnd w:id="54"/>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color w:val="111111"/>
        </w:rPr>
        <w:t>De verificarse todas las circunstancias descriptas en apartado</w:t>
      </w:r>
      <w:r>
        <w:rPr>
          <w:rFonts w:ascii="Calibri" w:hAnsi="Calibri" w:cs="Calibri"/>
          <w:color w:val="111111"/>
        </w:rPr>
        <w:t>s</w:t>
      </w:r>
      <w:r w:rsidRPr="0011267F">
        <w:rPr>
          <w:rFonts w:ascii="Calibri" w:hAnsi="Calibri" w:cs="Calibri"/>
          <w:color w:val="111111"/>
        </w:rPr>
        <w:t xml:space="preserve"> precedente</w:t>
      </w:r>
      <w:r>
        <w:rPr>
          <w:rFonts w:ascii="Calibri" w:hAnsi="Calibri" w:cs="Calibri"/>
          <w:color w:val="111111"/>
        </w:rPr>
        <w:t>s</w:t>
      </w:r>
      <w:r w:rsidRPr="0011267F">
        <w:rPr>
          <w:rFonts w:ascii="Calibri" w:hAnsi="Calibri" w:cs="Calibri"/>
          <w:color w:val="111111"/>
        </w:rPr>
        <w:t>, el residente argentino deberá imputar el resultado impositivo de la sociedad por lo devengado en el ejercicio fiscal en el que</w:t>
      </w:r>
      <w:r>
        <w:rPr>
          <w:rFonts w:ascii="Calibri" w:hAnsi="Calibri" w:cs="Calibri"/>
          <w:color w:val="111111"/>
        </w:rPr>
        <w:t xml:space="preserve"> se produzca el</w:t>
      </w:r>
      <w:r w:rsidRPr="0011267F">
        <w:rPr>
          <w:rFonts w:ascii="Calibri" w:hAnsi="Calibri" w:cs="Calibri"/>
          <w:color w:val="111111"/>
        </w:rPr>
        <w:t xml:space="preserve"> cierre el ejercicio la sociedad del exterior en el que participa.</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Como ya fuera adelantado, puede ocurrir que la sociedad no se dedique exclusivamente a la obtención de rentas pasivas; en ese escenario se deberá “abrir” el resultado a fin de establecer que parte del mismo proviene de rentas pasivas. El resultado atribuible a renta pasiva se imputará por su devengamiento mientras que, la p</w:t>
      </w:r>
      <w:r>
        <w:rPr>
          <w:rFonts w:ascii="Calibri" w:hAnsi="Calibri" w:cs="Calibri"/>
          <w:color w:val="111111"/>
        </w:rPr>
        <w:t xml:space="preserve">arte atribuible a rentas activas </w:t>
      </w:r>
      <w:r w:rsidRPr="00094D4F">
        <w:rPr>
          <w:rFonts w:ascii="Calibri" w:hAnsi="Calibri" w:cs="Calibri"/>
          <w:color w:val="111111"/>
        </w:rPr>
        <w:t>tributará cuando se produzca la distribución del dividendo.</w:t>
      </w: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b/>
          <w:color w:val="111111"/>
        </w:rPr>
      </w:pPr>
      <w:r w:rsidRPr="00094D4F">
        <w:rPr>
          <w:rFonts w:ascii="Calibri" w:hAnsi="Calibri" w:cs="Calibri"/>
          <w:color w:val="111111"/>
        </w:rPr>
        <w:t xml:space="preserve">A título de ejemplo, sí </w:t>
      </w:r>
      <w:r>
        <w:rPr>
          <w:rFonts w:ascii="Calibri" w:hAnsi="Calibri" w:cs="Calibri"/>
          <w:color w:val="111111"/>
        </w:rPr>
        <w:t>un</w:t>
      </w:r>
      <w:r w:rsidRPr="00094D4F">
        <w:rPr>
          <w:rFonts w:ascii="Calibri" w:hAnsi="Calibri" w:cs="Calibri"/>
          <w:color w:val="111111"/>
        </w:rPr>
        <w:t xml:space="preserve"> residente argentino posee una participación del 100% en </w:t>
      </w:r>
      <w:r>
        <w:rPr>
          <w:rFonts w:ascii="Calibri" w:hAnsi="Calibri" w:cs="Calibri"/>
          <w:color w:val="111111"/>
        </w:rPr>
        <w:t>una</w:t>
      </w:r>
      <w:r w:rsidRPr="00094D4F">
        <w:rPr>
          <w:rFonts w:ascii="Calibri" w:hAnsi="Calibri" w:cs="Calibri"/>
          <w:color w:val="111111"/>
        </w:rPr>
        <w:t xml:space="preserve"> sociedad del exterior</w:t>
      </w:r>
      <w:r>
        <w:rPr>
          <w:rFonts w:ascii="Calibri" w:hAnsi="Calibri" w:cs="Calibri"/>
          <w:color w:val="111111"/>
        </w:rPr>
        <w:t xml:space="preserve"> de una jurisdicción no cooperante, que obtiene exclusivamente rentas pasivas</w:t>
      </w:r>
      <w:r w:rsidRPr="00094D4F">
        <w:rPr>
          <w:rFonts w:ascii="Calibri" w:hAnsi="Calibri" w:cs="Calibri"/>
          <w:color w:val="111111"/>
        </w:rPr>
        <w:t xml:space="preserve">, y el resultado impositivo de ésta última es de $250.000, deberá </w:t>
      </w:r>
      <w:r>
        <w:rPr>
          <w:rFonts w:ascii="Calibri" w:hAnsi="Calibri" w:cs="Calibri"/>
          <w:color w:val="111111"/>
        </w:rPr>
        <w:t xml:space="preserve">imputar ese </w:t>
      </w:r>
      <w:r w:rsidRPr="00094D4F">
        <w:rPr>
          <w:rFonts w:ascii="Calibri" w:hAnsi="Calibri" w:cs="Calibri"/>
          <w:color w:val="111111"/>
        </w:rPr>
        <w:t xml:space="preserve">resultado </w:t>
      </w:r>
      <w:r>
        <w:rPr>
          <w:rFonts w:ascii="Calibri" w:hAnsi="Calibri" w:cs="Calibri"/>
          <w:color w:val="111111"/>
        </w:rPr>
        <w:t>por su devengamiento</w:t>
      </w:r>
      <w:r w:rsidRPr="00094D4F">
        <w:rPr>
          <w:rFonts w:ascii="Calibri" w:hAnsi="Calibri" w:cs="Calibri"/>
          <w:color w:val="111111"/>
        </w:rPr>
        <w:t xml:space="preserve">. Al momento de percibir los dividendos respectivos, los mismos serán objeto de un tratamiento especial ya que los resultados devengados por la sociedad pagadora fueron gravados con anterioridad. </w:t>
      </w: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 xml:space="preserve">A fin de evitar la doble imposición, la ley y el reglamento en la misma línea, excluyen de la base imponible los dividendos que tengan su origen en rentas sujetas al mecanismo especial de imputación. </w:t>
      </w: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 xml:space="preserve">La percepción de dividendos seguirá el siguiente orden de imputación: </w:t>
      </w: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1.</w:t>
      </w:r>
      <w:r w:rsidRPr="00094D4F">
        <w:rPr>
          <w:rFonts w:ascii="Calibri" w:hAnsi="Calibri" w:cs="Calibri"/>
          <w:color w:val="111111"/>
        </w:rPr>
        <w:tab/>
        <w:t>En primer término y hasta su agotamiento</w:t>
      </w:r>
      <w:r>
        <w:rPr>
          <w:rFonts w:ascii="Calibri" w:hAnsi="Calibri" w:cs="Calibri"/>
          <w:color w:val="111111"/>
        </w:rPr>
        <w:t xml:space="preserve">, </w:t>
      </w:r>
      <w:r w:rsidRPr="00094D4F">
        <w:rPr>
          <w:rFonts w:ascii="Calibri" w:hAnsi="Calibri" w:cs="Calibri"/>
          <w:color w:val="111111"/>
        </w:rPr>
        <w:t xml:space="preserve">al saldo de los resultados acumulados al último ejercicio cerrado con anterioridad al 31/12/1999 -fecha en la que entrara en vigor el régimen-. </w:t>
      </w:r>
      <w:r>
        <w:rPr>
          <w:rFonts w:ascii="Calibri" w:hAnsi="Calibri" w:cs="Calibri"/>
          <w:color w:val="111111"/>
        </w:rPr>
        <w:t>Atento a que, d</w:t>
      </w:r>
      <w:r w:rsidRPr="00094D4F">
        <w:rPr>
          <w:rFonts w:ascii="Calibri" w:hAnsi="Calibri" w:cs="Calibri"/>
          <w:color w:val="111111"/>
        </w:rPr>
        <w:t>ichos resultados no fueron objeto de aplicación del régimen de transparencia fiscal con anterioridad</w:t>
      </w:r>
      <w:r>
        <w:rPr>
          <w:rFonts w:ascii="Calibri" w:hAnsi="Calibri" w:cs="Calibri"/>
          <w:color w:val="111111"/>
        </w:rPr>
        <w:t xml:space="preserve">, es razonable que, </w:t>
      </w:r>
      <w:r w:rsidRPr="00094D4F">
        <w:rPr>
          <w:rFonts w:ascii="Calibri" w:hAnsi="Calibri" w:cs="Calibri"/>
          <w:color w:val="111111"/>
        </w:rPr>
        <w:t>se encuentran alcanzados por el impuesto.</w:t>
      </w: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2.</w:t>
      </w:r>
      <w:r w:rsidRPr="00094D4F">
        <w:rPr>
          <w:rFonts w:ascii="Calibri" w:hAnsi="Calibri" w:cs="Calibri"/>
          <w:color w:val="111111"/>
        </w:rPr>
        <w:tab/>
        <w:t>Resultados de los ejercicios posteriores a la acumulación del saldo anterior, que excedan a las ganancias pasivas declaradas por el accionista residente en el país.</w:t>
      </w: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3.</w:t>
      </w:r>
      <w:r w:rsidRPr="00094D4F">
        <w:rPr>
          <w:rFonts w:ascii="Calibri" w:hAnsi="Calibri" w:cs="Calibri"/>
          <w:color w:val="111111"/>
        </w:rPr>
        <w:tab/>
        <w:t>Ganancias pasivas que hubieran sido declaradas por el accionista residente del país por aplicación del régimen de transparencia</w:t>
      </w:r>
      <w:r w:rsidRPr="00094D4F">
        <w:rPr>
          <w:rStyle w:val="FootnoteReference"/>
          <w:rFonts w:ascii="Calibri" w:hAnsi="Calibri" w:cs="Calibri"/>
          <w:color w:val="111111"/>
        </w:rPr>
        <w:footnoteReference w:id="96"/>
      </w:r>
      <w:r w:rsidRPr="00094D4F">
        <w:rPr>
          <w:rFonts w:ascii="Calibri" w:hAnsi="Calibri" w:cs="Calibri"/>
          <w:color w:val="111111"/>
        </w:rPr>
        <w:t>.</w:t>
      </w: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rPr>
      </w:pPr>
      <w:r w:rsidRPr="00094D4F">
        <w:rPr>
          <w:rFonts w:ascii="Calibri" w:hAnsi="Calibri" w:cs="Calibri"/>
        </w:rPr>
        <w:t xml:space="preserve">No se definió en la ley </w:t>
      </w:r>
      <w:r>
        <w:rPr>
          <w:rFonts w:ascii="Calibri" w:hAnsi="Calibri" w:cs="Calibri"/>
        </w:rPr>
        <w:t>el</w:t>
      </w:r>
      <w:r w:rsidRPr="00094D4F">
        <w:rPr>
          <w:rFonts w:ascii="Calibri" w:hAnsi="Calibri" w:cs="Calibri"/>
        </w:rPr>
        <w:t xml:space="preserve"> tratamiento </w:t>
      </w:r>
      <w:r>
        <w:rPr>
          <w:rFonts w:ascii="Calibri" w:hAnsi="Calibri" w:cs="Calibri"/>
        </w:rPr>
        <w:t xml:space="preserve">a </w:t>
      </w:r>
      <w:r w:rsidRPr="00094D4F">
        <w:rPr>
          <w:rFonts w:ascii="Calibri" w:hAnsi="Calibri" w:cs="Calibri"/>
        </w:rPr>
        <w:t xml:space="preserve">acordar a las diferencias que surgen cuando los dividendos se distribuyen en base al resultado contable, mientras que las rentas pasivas se </w:t>
      </w:r>
      <w:r>
        <w:rPr>
          <w:rFonts w:ascii="Calibri" w:hAnsi="Calibri" w:cs="Calibri"/>
        </w:rPr>
        <w:t>determinan</w:t>
      </w:r>
      <w:r w:rsidRPr="00094D4F">
        <w:rPr>
          <w:rFonts w:ascii="Calibri" w:hAnsi="Calibri" w:cs="Calibri"/>
        </w:rPr>
        <w:t xml:space="preserve"> en base al resultado impositivo.</w:t>
      </w:r>
    </w:p>
    <w:p w:rsidR="00D529C5" w:rsidRPr="00094D4F" w:rsidRDefault="00D529C5" w:rsidP="00094D4F">
      <w:pPr>
        <w:pStyle w:val="NormalWeb"/>
        <w:shd w:val="clear" w:color="auto" w:fill="FFFFFF"/>
        <w:spacing w:before="0" w:beforeAutospacing="0" w:after="0" w:afterAutospacing="0"/>
        <w:jc w:val="both"/>
        <w:rPr>
          <w:rFonts w:ascii="Calibri" w:hAnsi="Calibri" w:cs="Calibri"/>
          <w:b/>
          <w:color w:val="111111"/>
        </w:rPr>
      </w:pPr>
    </w:p>
    <w:p w:rsidR="00D529C5" w:rsidRPr="00EE580B" w:rsidRDefault="00D529C5" w:rsidP="00B609F0">
      <w:pPr>
        <w:pStyle w:val="Heading2"/>
        <w:numPr>
          <w:ilvl w:val="1"/>
          <w:numId w:val="39"/>
        </w:numPr>
      </w:pPr>
      <w:bookmarkStart w:id="55" w:name="_Toc491335396"/>
      <w:bookmarkStart w:id="56" w:name="_Toc492313339"/>
      <w:r w:rsidRPr="00EE580B">
        <w:t>A través de un fondo común de inversión</w:t>
      </w:r>
      <w:bookmarkEnd w:id="55"/>
      <w:bookmarkEnd w:id="56"/>
    </w:p>
    <w:p w:rsidR="00D529C5" w:rsidRPr="00094D4F" w:rsidRDefault="00D529C5" w:rsidP="00094D4F">
      <w:pPr>
        <w:pStyle w:val="NormalWeb"/>
        <w:shd w:val="clear" w:color="auto" w:fill="FFFFFF"/>
        <w:spacing w:before="0" w:beforeAutospacing="0" w:after="0" w:afterAutospacing="0"/>
        <w:jc w:val="both"/>
        <w:rPr>
          <w:rFonts w:ascii="Calibri" w:hAnsi="Calibri" w:cs="Calibri"/>
          <w:b/>
          <w:color w:val="111111"/>
        </w:rPr>
      </w:pPr>
    </w:p>
    <w:p w:rsidR="00D529C5" w:rsidRPr="00094D4F" w:rsidRDefault="00D529C5" w:rsidP="00094D4F">
      <w:pPr>
        <w:spacing w:after="0" w:line="240" w:lineRule="auto"/>
        <w:jc w:val="both"/>
        <w:rPr>
          <w:rFonts w:hAnsi="Calibri" w:cs="Calibri"/>
          <w:color w:val="111111"/>
          <w:sz w:val="24"/>
          <w:szCs w:val="24"/>
        </w:rPr>
      </w:pPr>
      <w:r>
        <w:rPr>
          <w:rFonts w:hAnsi="Calibri" w:cs="Calibri"/>
          <w:color w:val="111111"/>
          <w:sz w:val="24"/>
          <w:szCs w:val="24"/>
        </w:rPr>
        <w:t>A fin de ilustrar sobre la utilización de este vehículo, supongamos que,</w:t>
      </w:r>
      <w:r w:rsidRPr="00094D4F">
        <w:rPr>
          <w:rFonts w:hAnsi="Calibri" w:cs="Calibri"/>
          <w:color w:val="111111"/>
          <w:sz w:val="24"/>
          <w:szCs w:val="24"/>
        </w:rPr>
        <w:t xml:space="preserve"> un residente argentino utiliza esta estructura localizada en una jurisdicción no cooperante</w:t>
      </w:r>
      <w:r>
        <w:rPr>
          <w:rFonts w:hAnsi="Calibri" w:cs="Calibri"/>
          <w:color w:val="111111"/>
          <w:sz w:val="24"/>
          <w:szCs w:val="24"/>
        </w:rPr>
        <w:t>, cuya denominación formal societaria es PLC (public limited company)</w:t>
      </w:r>
      <w:r w:rsidRPr="00094D4F">
        <w:rPr>
          <w:rFonts w:hAnsi="Calibri" w:cs="Calibri"/>
          <w:color w:val="111111"/>
          <w:sz w:val="24"/>
          <w:szCs w:val="24"/>
        </w:rPr>
        <w:t>. Se trata de una sociedad de inversión que</w:t>
      </w:r>
      <w:r w:rsidRPr="00094D4F">
        <w:rPr>
          <w:rFonts w:hAnsi="Calibri" w:cs="Calibri"/>
          <w:sz w:val="24"/>
          <w:szCs w:val="24"/>
        </w:rPr>
        <w:t xml:space="preserve"> </w:t>
      </w:r>
      <w:r w:rsidRPr="00094D4F">
        <w:rPr>
          <w:rFonts w:hAnsi="Calibri" w:cs="Calibri"/>
          <w:color w:val="111111"/>
          <w:sz w:val="24"/>
          <w:szCs w:val="24"/>
        </w:rPr>
        <w:t>posee en su activo solo acciones argentinas</w:t>
      </w:r>
      <w:r>
        <w:rPr>
          <w:rFonts w:hAnsi="Calibri" w:cs="Calibri"/>
          <w:color w:val="111111"/>
          <w:sz w:val="24"/>
          <w:szCs w:val="24"/>
        </w:rPr>
        <w:t>. E</w:t>
      </w:r>
      <w:r w:rsidRPr="00094D4F">
        <w:rPr>
          <w:rFonts w:hAnsi="Calibri" w:cs="Calibri"/>
          <w:color w:val="111111"/>
          <w:sz w:val="24"/>
          <w:szCs w:val="24"/>
        </w:rPr>
        <w:t>xist</w:t>
      </w:r>
      <w:r>
        <w:rPr>
          <w:rFonts w:hAnsi="Calibri" w:cs="Calibri"/>
          <w:color w:val="111111"/>
          <w:sz w:val="24"/>
          <w:szCs w:val="24"/>
        </w:rPr>
        <w:t>e</w:t>
      </w:r>
      <w:r w:rsidRPr="00094D4F">
        <w:rPr>
          <w:rFonts w:hAnsi="Calibri" w:cs="Calibri"/>
          <w:color w:val="111111"/>
          <w:sz w:val="24"/>
          <w:szCs w:val="24"/>
        </w:rPr>
        <w:t xml:space="preserve"> en </w:t>
      </w:r>
      <w:r>
        <w:rPr>
          <w:rFonts w:hAnsi="Calibri" w:cs="Calibri"/>
          <w:color w:val="111111"/>
          <w:sz w:val="24"/>
          <w:szCs w:val="24"/>
        </w:rPr>
        <w:t>dicha</w:t>
      </w:r>
      <w:r w:rsidRPr="00094D4F">
        <w:rPr>
          <w:rFonts w:hAnsi="Calibri" w:cs="Calibri"/>
          <w:color w:val="111111"/>
          <w:sz w:val="24"/>
          <w:szCs w:val="24"/>
        </w:rPr>
        <w:t xml:space="preserve"> jurisdicción una </w:t>
      </w:r>
      <w:r>
        <w:rPr>
          <w:rFonts w:hAnsi="Calibri" w:cs="Calibri"/>
          <w:color w:val="111111"/>
          <w:sz w:val="24"/>
          <w:szCs w:val="24"/>
        </w:rPr>
        <w:t>sociedad d</w:t>
      </w:r>
      <w:r w:rsidRPr="00094D4F">
        <w:rPr>
          <w:rFonts w:hAnsi="Calibri" w:cs="Calibri"/>
          <w:color w:val="111111"/>
          <w:sz w:val="24"/>
          <w:szCs w:val="24"/>
        </w:rPr>
        <w:t>epositaria, encargada de la custodia de los activos y una sociedad gerente controlada por la Comisión de Supervisión Financiera de esa jurisdicción.</w:t>
      </w:r>
    </w:p>
    <w:p w:rsidR="00D529C5" w:rsidRPr="00094D4F" w:rsidRDefault="00D529C5" w:rsidP="00094D4F">
      <w:pPr>
        <w:spacing w:after="0" w:line="240" w:lineRule="auto"/>
        <w:jc w:val="both"/>
        <w:rPr>
          <w:rFonts w:hAnsi="Calibri" w:cs="Calibri"/>
          <w:color w:val="111111"/>
          <w:sz w:val="24"/>
          <w:szCs w:val="24"/>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¿Es necesario que establezcamos ante qu</w:t>
      </w:r>
      <w:r>
        <w:rPr>
          <w:rFonts w:ascii="Calibri" w:hAnsi="Calibri" w:cs="Calibri"/>
          <w:color w:val="111111"/>
        </w:rPr>
        <w:t>é</w:t>
      </w:r>
      <w:r w:rsidRPr="00094D4F">
        <w:rPr>
          <w:rFonts w:ascii="Calibri" w:hAnsi="Calibri" w:cs="Calibri"/>
          <w:color w:val="111111"/>
        </w:rPr>
        <w:t xml:space="preserve"> tipo de sujeto del exterior nos encontramos?</w:t>
      </w: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 xml:space="preserve">La respuesta es afirmativa, ya que las implicancias fiscales pueden ser más o menos gravosas para el inversor argentino. </w:t>
      </w:r>
    </w:p>
    <w:p w:rsidR="00D529C5" w:rsidRDefault="00D529C5" w:rsidP="00094D4F">
      <w:pPr>
        <w:pStyle w:val="NormalWeb"/>
        <w:spacing w:before="0" w:beforeAutospacing="0" w:after="0" w:afterAutospacing="0"/>
        <w:jc w:val="both"/>
        <w:rPr>
          <w:rFonts w:ascii="Calibri" w:hAnsi="Calibri" w:cs="Calibri"/>
        </w:rPr>
      </w:pPr>
    </w:p>
    <w:p w:rsidR="00D529C5" w:rsidRDefault="00D529C5" w:rsidP="00094D4F">
      <w:pPr>
        <w:pStyle w:val="NormalWeb"/>
        <w:spacing w:before="0" w:beforeAutospacing="0" w:after="0" w:afterAutospacing="0"/>
        <w:jc w:val="both"/>
        <w:rPr>
          <w:rFonts w:ascii="Calibri" w:hAnsi="Calibri" w:cs="Calibri"/>
        </w:rPr>
      </w:pPr>
      <w:r w:rsidRPr="00094D4F">
        <w:rPr>
          <w:rFonts w:ascii="Calibri" w:hAnsi="Calibri" w:cs="Calibri"/>
        </w:rPr>
        <w:t xml:space="preserve">Ahora bien, ¿cómo podemos determinar que nos hallamos ante un </w:t>
      </w:r>
      <w:r>
        <w:rPr>
          <w:rFonts w:ascii="Calibri" w:hAnsi="Calibri" w:cs="Calibri"/>
        </w:rPr>
        <w:t>F</w:t>
      </w:r>
      <w:r w:rsidRPr="00094D4F">
        <w:rPr>
          <w:rFonts w:ascii="Calibri" w:hAnsi="Calibri" w:cs="Calibri"/>
        </w:rPr>
        <w:t xml:space="preserve">ondo </w:t>
      </w:r>
      <w:r>
        <w:rPr>
          <w:rFonts w:ascii="Calibri" w:hAnsi="Calibri" w:cs="Calibri"/>
        </w:rPr>
        <w:t>C</w:t>
      </w:r>
      <w:r w:rsidRPr="00094D4F">
        <w:rPr>
          <w:rFonts w:ascii="Calibri" w:hAnsi="Calibri" w:cs="Calibri"/>
        </w:rPr>
        <w:t xml:space="preserve">omún de </w:t>
      </w:r>
      <w:r>
        <w:rPr>
          <w:rFonts w:ascii="Calibri" w:hAnsi="Calibri" w:cs="Calibri"/>
        </w:rPr>
        <w:t>I</w:t>
      </w:r>
      <w:r w:rsidRPr="00094D4F">
        <w:rPr>
          <w:rFonts w:ascii="Calibri" w:hAnsi="Calibri" w:cs="Calibri"/>
        </w:rPr>
        <w:t xml:space="preserve">nversión y cuál sería el parámetro a adoptar para efectuar esa comparación? Nos inclinamos por efectuar dicho paralelo con la normativa vigente en nuestro país que se encuentra contenida en la </w:t>
      </w:r>
      <w:bookmarkStart w:id="57" w:name="_Hlk491295941"/>
      <w:r w:rsidRPr="00094D4F">
        <w:rPr>
          <w:rFonts w:ascii="Calibri" w:hAnsi="Calibri" w:cs="Calibri"/>
        </w:rPr>
        <w:t>Ley 24.083 y sus modificatorias</w:t>
      </w:r>
      <w:bookmarkEnd w:id="57"/>
      <w:r w:rsidRPr="00094D4F">
        <w:rPr>
          <w:rStyle w:val="FootnoteReference"/>
          <w:rFonts w:ascii="Calibri" w:hAnsi="Calibri" w:cs="Calibri"/>
        </w:rPr>
        <w:footnoteReference w:id="97"/>
      </w:r>
      <w:r w:rsidRPr="00094D4F">
        <w:rPr>
          <w:rFonts w:ascii="Calibri" w:hAnsi="Calibri" w:cs="Calibri"/>
        </w:rPr>
        <w:t>. Se adopta esta posición, dado el silencio de la norma del impuesto.</w:t>
      </w:r>
    </w:p>
    <w:p w:rsidR="00D529C5" w:rsidRPr="00094D4F" w:rsidRDefault="00D529C5" w:rsidP="00094D4F">
      <w:pPr>
        <w:pStyle w:val="NormalWeb"/>
        <w:spacing w:before="0" w:beforeAutospacing="0" w:after="0" w:afterAutospacing="0"/>
        <w:jc w:val="both"/>
        <w:rPr>
          <w:rFonts w:ascii="Calibri" w:hAnsi="Calibri" w:cs="Calibri"/>
        </w:rPr>
      </w:pPr>
    </w:p>
    <w:p w:rsidR="00D529C5" w:rsidRDefault="00D529C5" w:rsidP="00094D4F">
      <w:pPr>
        <w:pStyle w:val="NormalWeb"/>
        <w:spacing w:before="0" w:beforeAutospacing="0" w:after="0" w:afterAutospacing="0"/>
        <w:jc w:val="both"/>
        <w:rPr>
          <w:rFonts w:ascii="Calibri" w:hAnsi="Calibri" w:cs="Calibri"/>
        </w:rPr>
      </w:pPr>
      <w:r>
        <w:rPr>
          <w:rFonts w:ascii="Calibri" w:hAnsi="Calibri" w:cs="Calibri"/>
        </w:rPr>
        <w:t>Para ello, deberemos analizar pormenorizadamente la legislación extranjera que rige al tipo de entidad que analizamos. A fin de concluir que se está frente a</w:t>
      </w:r>
      <w:r w:rsidRPr="00094D4F">
        <w:rPr>
          <w:rFonts w:ascii="Calibri" w:hAnsi="Calibri" w:cs="Calibri"/>
        </w:rPr>
        <w:t xml:space="preserve"> un Fondo Común de Inversión, estimamos que la sociedad del exterior que se analiza debería compartir algunas características comunes</w:t>
      </w:r>
      <w:r>
        <w:rPr>
          <w:rFonts w:ascii="Calibri" w:hAnsi="Calibri" w:cs="Calibri"/>
        </w:rPr>
        <w:t xml:space="preserve"> con la figura local, entre ellas, </w:t>
      </w:r>
      <w:r w:rsidRPr="00094D4F">
        <w:rPr>
          <w:rFonts w:ascii="Calibri" w:hAnsi="Calibri" w:cs="Calibri"/>
        </w:rPr>
        <w:t>la posibilidad de que existan múltiples inversores, la obligatoriedad de que la Sociedad Gerente y la Sociedad de Custodia desarrollen roles bien diferenciados; que el inversor argentino no ejerza el control del Fondo, debiendo la entidad que cumpla las funciones de Sociedad Gerente tomar las decisiones y ejercer la administración.</w:t>
      </w:r>
    </w:p>
    <w:p w:rsidR="00D529C5" w:rsidRPr="00094D4F" w:rsidRDefault="00D529C5" w:rsidP="00094D4F">
      <w:pPr>
        <w:pStyle w:val="NormalWeb"/>
        <w:spacing w:before="0" w:beforeAutospacing="0" w:after="0" w:afterAutospacing="0"/>
        <w:jc w:val="both"/>
        <w:rPr>
          <w:rFonts w:ascii="Calibri" w:hAnsi="Calibri" w:cs="Calibri"/>
        </w:rPr>
      </w:pPr>
    </w:p>
    <w:p w:rsidR="00D529C5" w:rsidRDefault="00D529C5" w:rsidP="00094D4F">
      <w:pPr>
        <w:pStyle w:val="NormalWeb"/>
        <w:spacing w:before="0" w:beforeAutospacing="0" w:after="0" w:afterAutospacing="0"/>
        <w:jc w:val="both"/>
        <w:rPr>
          <w:rFonts w:ascii="Calibri" w:hAnsi="Calibri" w:cs="Calibri"/>
        </w:rPr>
      </w:pPr>
      <w:r>
        <w:rPr>
          <w:rFonts w:ascii="Calibri" w:hAnsi="Calibri" w:cs="Calibri"/>
        </w:rPr>
        <w:t>Coincidimos, respecto a</w:t>
      </w:r>
      <w:r w:rsidRPr="00094D4F">
        <w:rPr>
          <w:rFonts w:ascii="Calibri" w:hAnsi="Calibri" w:cs="Calibri"/>
        </w:rPr>
        <w:t xml:space="preserve"> que si la norma sobre los tipos societarios se impone sobre el artículo 140 inciso e), éste resultaría de nulo empleo dado que siempre existiría una norma referida al tipo contractual o societario que prevalecería</w:t>
      </w:r>
      <w:r w:rsidRPr="00094D4F">
        <w:rPr>
          <w:rStyle w:val="FootnoteReference"/>
          <w:rFonts w:ascii="Calibri" w:hAnsi="Calibri" w:cs="Calibri"/>
        </w:rPr>
        <w:footnoteReference w:id="98"/>
      </w:r>
      <w:r w:rsidRPr="00094D4F">
        <w:rPr>
          <w:rFonts w:ascii="Calibri" w:hAnsi="Calibri" w:cs="Calibri"/>
        </w:rPr>
        <w:t>.</w:t>
      </w:r>
    </w:p>
    <w:p w:rsidR="00D529C5" w:rsidRPr="00094D4F" w:rsidRDefault="00D529C5" w:rsidP="00094D4F">
      <w:pPr>
        <w:pStyle w:val="NormalWeb"/>
        <w:spacing w:before="0" w:beforeAutospacing="0" w:after="0" w:afterAutospacing="0"/>
        <w:jc w:val="both"/>
        <w:rPr>
          <w:rFonts w:ascii="Calibri" w:hAnsi="Calibri" w:cs="Calibri"/>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r w:rsidRPr="00094D4F">
        <w:rPr>
          <w:rFonts w:ascii="Calibri" w:hAnsi="Calibri" w:cs="Calibri"/>
          <w:color w:val="111111"/>
        </w:rPr>
        <w:t>Veamos distintas situaciones que se pudieren presentar.</w:t>
      </w:r>
    </w:p>
    <w:p w:rsidR="00D529C5" w:rsidRPr="00094D4F" w:rsidRDefault="00D529C5" w:rsidP="00094D4F">
      <w:pPr>
        <w:pStyle w:val="NormalWeb"/>
        <w:shd w:val="clear" w:color="auto" w:fill="FFFFFF"/>
        <w:spacing w:before="0" w:beforeAutospacing="0" w:after="0" w:afterAutospacing="0"/>
        <w:jc w:val="both"/>
        <w:rPr>
          <w:rFonts w:ascii="Calibri" w:hAnsi="Calibri" w:cs="Calibri"/>
          <w:b/>
          <w:color w:val="111111"/>
        </w:rPr>
      </w:pPr>
    </w:p>
    <w:p w:rsidR="00D529C5" w:rsidRPr="00094D4F" w:rsidRDefault="00D529C5" w:rsidP="00094D4F">
      <w:pPr>
        <w:pStyle w:val="NormalWeb"/>
        <w:shd w:val="clear" w:color="auto" w:fill="FFFFFF"/>
        <w:spacing w:before="0" w:beforeAutospacing="0" w:after="0" w:afterAutospacing="0"/>
        <w:jc w:val="both"/>
        <w:rPr>
          <w:rFonts w:ascii="Calibri" w:hAnsi="Calibri" w:cs="Calibri"/>
          <w:color w:val="111111"/>
        </w:rPr>
      </w:pPr>
      <w:bookmarkStart w:id="58" w:name="_Hlk491217674"/>
      <w:r w:rsidRPr="00094D4F">
        <w:rPr>
          <w:rFonts w:ascii="Calibri" w:hAnsi="Calibri" w:cs="Calibri"/>
          <w:color w:val="111111"/>
        </w:rPr>
        <w:t xml:space="preserve">Si no se reciben </w:t>
      </w:r>
      <w:r>
        <w:rPr>
          <w:rFonts w:ascii="Calibri" w:hAnsi="Calibri" w:cs="Calibri"/>
          <w:color w:val="111111"/>
        </w:rPr>
        <w:t>“</w:t>
      </w:r>
      <w:r w:rsidRPr="00094D4F">
        <w:rPr>
          <w:rFonts w:ascii="Calibri" w:hAnsi="Calibri" w:cs="Calibri"/>
          <w:color w:val="111111"/>
        </w:rPr>
        <w:t>dividendos</w:t>
      </w:r>
      <w:r>
        <w:rPr>
          <w:rFonts w:ascii="Calibri" w:hAnsi="Calibri" w:cs="Calibri"/>
          <w:color w:val="111111"/>
        </w:rPr>
        <w:t>”</w:t>
      </w:r>
      <w:r w:rsidRPr="00094D4F">
        <w:rPr>
          <w:rFonts w:ascii="Calibri" w:hAnsi="Calibri" w:cs="Calibri"/>
          <w:color w:val="111111"/>
        </w:rPr>
        <w:t xml:space="preserve"> desde que se invirtió:</w:t>
      </w:r>
    </w:p>
    <w:bookmarkEnd w:id="58"/>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921254">
      <w:pPr>
        <w:pStyle w:val="NormalWeb"/>
        <w:numPr>
          <w:ilvl w:val="0"/>
          <w:numId w:val="13"/>
        </w:numPr>
        <w:shd w:val="clear" w:color="auto" w:fill="FFFFFF"/>
        <w:spacing w:before="0" w:beforeAutospacing="0" w:after="0" w:afterAutospacing="0"/>
        <w:ind w:left="0" w:firstLine="0"/>
        <w:jc w:val="both"/>
        <w:rPr>
          <w:rFonts w:ascii="Calibri" w:hAnsi="Calibri" w:cs="Calibri"/>
          <w:color w:val="111111"/>
        </w:rPr>
      </w:pPr>
      <w:r w:rsidRPr="0011267F">
        <w:rPr>
          <w:rFonts w:ascii="Calibri" w:hAnsi="Calibri" w:cs="Calibri"/>
          <w:color w:val="111111"/>
        </w:rPr>
        <w:t>Si nos encontramos ante una sociedad por acciones: aplicarán las normas anti diferimiento analizadas en apartados anteriores. El hecho de que no reciba dividendos no empece a que el inversor local deba reconocer los resultados derivados en rentas pasivas.</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921254">
      <w:pPr>
        <w:pStyle w:val="NormalWeb"/>
        <w:numPr>
          <w:ilvl w:val="0"/>
          <w:numId w:val="13"/>
        </w:numPr>
        <w:shd w:val="clear" w:color="auto" w:fill="FFFFFF"/>
        <w:spacing w:before="0" w:beforeAutospacing="0" w:after="0" w:afterAutospacing="0"/>
        <w:ind w:left="0" w:firstLine="0"/>
        <w:jc w:val="both"/>
        <w:rPr>
          <w:rFonts w:ascii="Calibri" w:hAnsi="Calibri" w:cs="Calibri"/>
          <w:color w:val="111111"/>
        </w:rPr>
      </w:pPr>
      <w:r w:rsidRPr="0011267F">
        <w:rPr>
          <w:rFonts w:ascii="Calibri" w:hAnsi="Calibri" w:cs="Calibri"/>
          <w:color w:val="111111"/>
        </w:rPr>
        <w:t>Si nos encontramos ante un fondo común de inversión: no aplican las normas anti diferimiento, ya que éstas se limitan a las participaciones en sociedades por acciones. El residente argentino reconocerá utilidades recién cuando está</w:t>
      </w:r>
      <w:r>
        <w:rPr>
          <w:rFonts w:ascii="Calibri" w:hAnsi="Calibri" w:cs="Calibri"/>
          <w:color w:val="111111"/>
        </w:rPr>
        <w:t>s se distribuyan.</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Default="00D529C5" w:rsidP="008C215A">
      <w:pPr>
        <w:pStyle w:val="NormalWeb"/>
        <w:shd w:val="clear" w:color="auto" w:fill="FFFFFF"/>
        <w:spacing w:before="0" w:beforeAutospacing="0" w:after="0" w:afterAutospacing="0"/>
        <w:jc w:val="both"/>
        <w:rPr>
          <w:rFonts w:ascii="Calibri" w:hAnsi="Calibri" w:cs="Calibri"/>
          <w:color w:val="111111"/>
        </w:rPr>
      </w:pPr>
      <w:r w:rsidRPr="0011267F">
        <w:rPr>
          <w:rFonts w:ascii="Calibri" w:hAnsi="Calibri" w:cs="Calibri"/>
          <w:color w:val="111111"/>
        </w:rPr>
        <w:t>S</w:t>
      </w:r>
      <w:r>
        <w:rPr>
          <w:rFonts w:ascii="Calibri" w:hAnsi="Calibri" w:cs="Calibri"/>
          <w:color w:val="111111"/>
        </w:rPr>
        <w:t>i se</w:t>
      </w:r>
      <w:r w:rsidRPr="0011267F">
        <w:rPr>
          <w:rFonts w:ascii="Calibri" w:hAnsi="Calibri" w:cs="Calibri"/>
          <w:color w:val="111111"/>
        </w:rPr>
        <w:t xml:space="preserve"> distribuyen </w:t>
      </w:r>
      <w:r>
        <w:rPr>
          <w:rFonts w:ascii="Calibri" w:hAnsi="Calibri" w:cs="Calibri"/>
          <w:color w:val="111111"/>
        </w:rPr>
        <w:t>“</w:t>
      </w:r>
      <w:r w:rsidRPr="0011267F">
        <w:rPr>
          <w:rFonts w:ascii="Calibri" w:hAnsi="Calibri" w:cs="Calibri"/>
          <w:color w:val="111111"/>
        </w:rPr>
        <w:t>dividendos</w:t>
      </w:r>
      <w:r>
        <w:rPr>
          <w:rFonts w:ascii="Calibri" w:hAnsi="Calibri" w:cs="Calibri"/>
          <w:color w:val="111111"/>
        </w:rPr>
        <w:t>”</w:t>
      </w:r>
      <w:r w:rsidRPr="0011267F">
        <w:rPr>
          <w:rFonts w:ascii="Calibri" w:hAnsi="Calibri" w:cs="Calibri"/>
          <w:color w:val="111111"/>
        </w:rPr>
        <w:t xml:space="preserve"> al cierre de cada ejercicio</w:t>
      </w:r>
      <w:r>
        <w:rPr>
          <w:rFonts w:ascii="Calibri" w:hAnsi="Calibri" w:cs="Calibri"/>
          <w:color w:val="111111"/>
        </w:rPr>
        <w:t>:</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FC06EA">
      <w:pPr>
        <w:pStyle w:val="NormalWeb"/>
        <w:numPr>
          <w:ilvl w:val="0"/>
          <w:numId w:val="13"/>
        </w:numPr>
        <w:shd w:val="clear" w:color="auto" w:fill="FFFFFF"/>
        <w:spacing w:before="0" w:beforeAutospacing="0" w:after="0" w:afterAutospacing="0"/>
        <w:ind w:left="0" w:firstLine="0"/>
        <w:jc w:val="both"/>
        <w:rPr>
          <w:rFonts w:ascii="Calibri" w:hAnsi="Calibri" w:cs="Calibri"/>
          <w:color w:val="111111"/>
        </w:rPr>
      </w:pPr>
      <w:r w:rsidRPr="0011267F">
        <w:rPr>
          <w:rFonts w:ascii="Calibri" w:hAnsi="Calibri" w:cs="Calibri"/>
          <w:color w:val="111111"/>
        </w:rPr>
        <w:t xml:space="preserve">Si nos encontramos ante una sociedad por acciones: se deberán determinar que parte de los mismos deberán excluirse de la base imponible, según los criterios a los que se refiere la reglamentación. </w:t>
      </w:r>
      <w:r>
        <w:rPr>
          <w:rFonts w:ascii="Calibri" w:hAnsi="Calibri" w:cs="Calibri"/>
          <w:color w:val="111111"/>
        </w:rPr>
        <w:t>El inversor argentino ya tributó por los resultados de actividades pasivas.</w:t>
      </w: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111111"/>
        </w:rPr>
      </w:pPr>
    </w:p>
    <w:p w:rsidR="00D529C5" w:rsidRPr="0011267F" w:rsidRDefault="00D529C5" w:rsidP="000F6F08">
      <w:pPr>
        <w:pStyle w:val="NormalWeb"/>
        <w:numPr>
          <w:ilvl w:val="0"/>
          <w:numId w:val="13"/>
        </w:numPr>
        <w:shd w:val="clear" w:color="auto" w:fill="FFFFFF"/>
        <w:spacing w:before="0" w:beforeAutospacing="0" w:after="0" w:afterAutospacing="0"/>
        <w:ind w:left="0" w:firstLine="0"/>
        <w:jc w:val="both"/>
        <w:rPr>
          <w:rFonts w:ascii="Calibri" w:hAnsi="Calibri" w:cs="Calibri"/>
          <w:color w:val="111111"/>
        </w:rPr>
      </w:pPr>
      <w:r w:rsidRPr="000F6F08">
        <w:rPr>
          <w:rFonts w:ascii="Calibri" w:hAnsi="Calibri" w:cs="Calibri"/>
          <w:color w:val="111111"/>
        </w:rPr>
        <w:t xml:space="preserve">Si nos encontramos ante un fondo común de inversión: </w:t>
      </w:r>
      <w:r>
        <w:rPr>
          <w:rFonts w:ascii="Calibri" w:hAnsi="Calibri" w:cs="Calibri"/>
          <w:color w:val="111111"/>
        </w:rPr>
        <w:t>e</w:t>
      </w:r>
      <w:r w:rsidRPr="0011267F">
        <w:rPr>
          <w:rFonts w:ascii="Calibri" w:hAnsi="Calibri" w:cs="Calibri"/>
          <w:color w:val="111111"/>
        </w:rPr>
        <w:t xml:space="preserve">l residente argentino reconoce utilidades </w:t>
      </w:r>
      <w:r>
        <w:rPr>
          <w:rFonts w:ascii="Calibri" w:hAnsi="Calibri" w:cs="Calibri"/>
          <w:color w:val="111111"/>
        </w:rPr>
        <w:t>por la distribución.</w:t>
      </w:r>
    </w:p>
    <w:p w:rsidR="00D529C5" w:rsidRPr="000F6F08" w:rsidRDefault="00D529C5" w:rsidP="00C34A1D">
      <w:pPr>
        <w:pStyle w:val="NormalWeb"/>
        <w:numPr>
          <w:ilvl w:val="0"/>
          <w:numId w:val="13"/>
        </w:numPr>
        <w:shd w:val="clear" w:color="auto" w:fill="FFFFFF"/>
        <w:spacing w:before="0" w:beforeAutospacing="0" w:after="0" w:afterAutospacing="0"/>
        <w:ind w:left="0" w:firstLine="0"/>
        <w:jc w:val="both"/>
        <w:rPr>
          <w:rFonts w:ascii="Calibri" w:hAnsi="Calibri" w:cs="Calibri"/>
          <w:color w:val="111111"/>
        </w:rPr>
      </w:pPr>
    </w:p>
    <w:p w:rsidR="00D529C5" w:rsidRDefault="00D529C5" w:rsidP="008C215A">
      <w:pPr>
        <w:spacing w:after="0" w:line="240" w:lineRule="auto"/>
        <w:jc w:val="both"/>
        <w:rPr>
          <w:rFonts w:hAnsi="Calibri" w:cs="Calibri"/>
          <w:sz w:val="24"/>
          <w:szCs w:val="24"/>
          <w:lang w:val="es-ES" w:eastAsia="es-ES"/>
        </w:rPr>
      </w:pPr>
      <w:r>
        <w:rPr>
          <w:rFonts w:hAnsi="Calibri" w:cs="Calibri"/>
          <w:sz w:val="24"/>
          <w:szCs w:val="24"/>
          <w:lang w:eastAsia="es-ES"/>
        </w:rPr>
        <w:t>Finalmente, en el caso de estar frente a una sociedad por acciones, si bien</w:t>
      </w:r>
      <w:r w:rsidRPr="0011267F">
        <w:rPr>
          <w:rFonts w:hAnsi="Calibri" w:cs="Calibri"/>
          <w:sz w:val="24"/>
          <w:szCs w:val="24"/>
          <w:lang w:eastAsia="es-ES"/>
        </w:rPr>
        <w:t xml:space="preserve"> las utilidades provienen de dividendos de sociedades por acciones de la República Argentina</w:t>
      </w:r>
      <w:r>
        <w:rPr>
          <w:rFonts w:hAnsi="Calibri" w:cs="Calibri"/>
          <w:sz w:val="24"/>
          <w:szCs w:val="24"/>
          <w:lang w:eastAsia="es-ES"/>
        </w:rPr>
        <w:t xml:space="preserve"> debe tenerse presente la restricción del </w:t>
      </w:r>
      <w:r>
        <w:rPr>
          <w:rFonts w:hAnsi="Calibri" w:cs="Calibri"/>
          <w:sz w:val="24"/>
          <w:szCs w:val="24"/>
          <w:lang w:val="es-ES" w:eastAsia="es-ES"/>
        </w:rPr>
        <w:t>artículo incorporado</w:t>
      </w:r>
      <w:r w:rsidRPr="00B96AE7">
        <w:rPr>
          <w:rFonts w:hAnsi="Calibri" w:cs="Calibri"/>
          <w:sz w:val="24"/>
          <w:szCs w:val="24"/>
          <w:lang w:val="es-ES" w:eastAsia="es-ES"/>
        </w:rPr>
        <w:t xml:space="preserve"> a continuación del art. …</w:t>
      </w:r>
      <w:r>
        <w:rPr>
          <w:rFonts w:hAnsi="Calibri" w:cs="Calibri"/>
          <w:sz w:val="24"/>
          <w:szCs w:val="24"/>
          <w:lang w:val="es-ES" w:eastAsia="es-ES"/>
        </w:rPr>
        <w:t xml:space="preserve"> </w:t>
      </w:r>
      <w:r w:rsidRPr="00B96AE7">
        <w:rPr>
          <w:rFonts w:hAnsi="Calibri" w:cs="Calibri"/>
          <w:sz w:val="24"/>
          <w:szCs w:val="24"/>
          <w:lang w:val="es-ES" w:eastAsia="es-ES"/>
        </w:rPr>
        <w:t>(XIII) incorporado a continuación del artículo 165</w:t>
      </w:r>
      <w:r>
        <w:rPr>
          <w:rFonts w:hAnsi="Calibri" w:cs="Calibri"/>
          <w:sz w:val="24"/>
          <w:szCs w:val="24"/>
          <w:lang w:val="es-ES" w:eastAsia="es-ES"/>
        </w:rPr>
        <w:t xml:space="preserve"> del</w:t>
      </w:r>
      <w:r w:rsidRPr="0011267F">
        <w:rPr>
          <w:rFonts w:hAnsi="Calibri" w:cs="Calibri"/>
          <w:sz w:val="24"/>
          <w:szCs w:val="24"/>
          <w:lang w:val="es-ES" w:eastAsia="es-ES"/>
        </w:rPr>
        <w:t xml:space="preserve"> Decreto Reglamentario de la </w:t>
      </w:r>
      <w:r>
        <w:rPr>
          <w:rFonts w:hAnsi="Calibri" w:cs="Calibri"/>
          <w:sz w:val="24"/>
          <w:szCs w:val="24"/>
          <w:lang w:val="es-ES" w:eastAsia="es-ES"/>
        </w:rPr>
        <w:t>l</w:t>
      </w:r>
      <w:r w:rsidRPr="0011267F">
        <w:rPr>
          <w:rFonts w:hAnsi="Calibri" w:cs="Calibri"/>
          <w:sz w:val="24"/>
          <w:szCs w:val="24"/>
          <w:lang w:val="es-ES" w:eastAsia="es-ES"/>
        </w:rPr>
        <w:t>ey del impuesto</w:t>
      </w:r>
      <w:r>
        <w:rPr>
          <w:rStyle w:val="FootnoteReference"/>
          <w:rFonts w:hAnsi="Calibri" w:cs="Calibri"/>
          <w:sz w:val="24"/>
          <w:szCs w:val="24"/>
          <w:lang w:val="es-ES" w:eastAsia="es-ES"/>
        </w:rPr>
        <w:footnoteReference w:id="99"/>
      </w:r>
      <w:r>
        <w:rPr>
          <w:rFonts w:hAnsi="Calibri" w:cs="Calibri"/>
          <w:sz w:val="24"/>
          <w:szCs w:val="24"/>
          <w:lang w:val="es-ES" w:eastAsia="es-ES"/>
        </w:rPr>
        <w:t>.</w:t>
      </w:r>
    </w:p>
    <w:p w:rsidR="00D529C5" w:rsidRPr="0011267F" w:rsidRDefault="00D529C5" w:rsidP="008C215A">
      <w:pPr>
        <w:spacing w:after="0" w:line="240" w:lineRule="auto"/>
        <w:jc w:val="both"/>
        <w:rPr>
          <w:rFonts w:hAnsi="Calibri" w:cs="Calibri"/>
          <w:sz w:val="24"/>
          <w:szCs w:val="24"/>
          <w:lang w:val="es-ES" w:eastAsia="es-ES"/>
        </w:rPr>
      </w:pPr>
    </w:p>
    <w:p w:rsidR="00D529C5" w:rsidRPr="0011267F" w:rsidRDefault="00D529C5" w:rsidP="008C215A">
      <w:pPr>
        <w:spacing w:after="0" w:line="240" w:lineRule="auto"/>
        <w:jc w:val="both"/>
        <w:rPr>
          <w:rFonts w:hAnsi="Calibri" w:cs="Calibri"/>
          <w:sz w:val="24"/>
          <w:szCs w:val="24"/>
          <w:lang w:val="es-ES" w:eastAsia="es-ES"/>
        </w:rPr>
      </w:pPr>
      <w:r w:rsidRPr="0011267F">
        <w:rPr>
          <w:rFonts w:hAnsi="Calibri" w:cs="Calibri"/>
          <w:sz w:val="24"/>
          <w:szCs w:val="24"/>
          <w:lang w:val="es-ES" w:eastAsia="es-ES"/>
        </w:rPr>
        <w:t>Por lo tanto, en la medida que un residente argentino participe en una sociedad por acciones que a su vez participe en una sociedad constituida</w:t>
      </w:r>
      <w:r>
        <w:rPr>
          <w:rFonts w:hAnsi="Calibri" w:cs="Calibri"/>
          <w:sz w:val="24"/>
          <w:szCs w:val="24"/>
          <w:lang w:val="es-ES" w:eastAsia="es-ES"/>
        </w:rPr>
        <w:t xml:space="preserve"> en la República Argentina</w:t>
      </w:r>
      <w:r w:rsidRPr="0011267F">
        <w:rPr>
          <w:rFonts w:hAnsi="Calibri" w:cs="Calibri"/>
          <w:sz w:val="24"/>
          <w:szCs w:val="24"/>
          <w:lang w:val="es-ES" w:eastAsia="es-ES"/>
        </w:rPr>
        <w:t>, se encontrará habilitado a considerar no computables los dividendos distribuidos por la sociedad argentina siempre y cuando se originen en ganancias distribuidas por la sociedad local que hayan tributado</w:t>
      </w:r>
      <w:r>
        <w:rPr>
          <w:rFonts w:hAnsi="Calibri" w:cs="Calibri"/>
          <w:sz w:val="24"/>
          <w:szCs w:val="24"/>
          <w:lang w:val="es-ES" w:eastAsia="es-ES"/>
        </w:rPr>
        <w:t xml:space="preserve"> el</w:t>
      </w:r>
      <w:r w:rsidRPr="0011267F">
        <w:rPr>
          <w:rFonts w:hAnsi="Calibri" w:cs="Calibri"/>
          <w:sz w:val="24"/>
          <w:szCs w:val="24"/>
          <w:lang w:val="es-ES" w:eastAsia="es-ES"/>
        </w:rPr>
        <w:t xml:space="preserve"> impuesto a las ganancias y, de haber correspondido, el impuesto de igualación</w:t>
      </w:r>
      <w:r>
        <w:rPr>
          <w:rFonts w:hAnsi="Calibri" w:cs="Calibri"/>
          <w:sz w:val="24"/>
          <w:szCs w:val="24"/>
          <w:lang w:val="es-ES" w:eastAsia="es-ES"/>
        </w:rPr>
        <w:t>; todo ello en la medida que la sociedad emisora del exterior no se encuentre situada en una jurisdicción no cooperante.</w:t>
      </w:r>
    </w:p>
    <w:p w:rsidR="00D529C5" w:rsidRPr="0011267F" w:rsidRDefault="00D529C5" w:rsidP="008C215A">
      <w:pPr>
        <w:spacing w:after="0" w:line="240" w:lineRule="auto"/>
        <w:jc w:val="both"/>
        <w:rPr>
          <w:rFonts w:hAnsi="Calibri" w:cs="Calibri"/>
          <w:sz w:val="24"/>
          <w:szCs w:val="24"/>
          <w:lang w:val="es-ES" w:eastAsia="es-ES"/>
        </w:rPr>
      </w:pPr>
    </w:p>
    <w:p w:rsidR="00D529C5" w:rsidRPr="0011267F" w:rsidRDefault="00D529C5" w:rsidP="008C215A">
      <w:pPr>
        <w:spacing w:after="0" w:line="240" w:lineRule="auto"/>
        <w:jc w:val="both"/>
        <w:rPr>
          <w:rFonts w:hAnsi="Calibri" w:cs="Calibri"/>
          <w:sz w:val="24"/>
          <w:szCs w:val="24"/>
          <w:lang w:val="es-ES" w:eastAsia="es-ES"/>
        </w:rPr>
      </w:pPr>
      <w:r w:rsidRPr="0011267F">
        <w:rPr>
          <w:rFonts w:hAnsi="Calibri" w:cs="Calibri"/>
          <w:sz w:val="24"/>
          <w:szCs w:val="24"/>
          <w:lang w:val="es-ES" w:eastAsia="es-ES"/>
        </w:rPr>
        <w:t>Sin perjuicio de ello, cabría tener en cuenta un antecedente que no ha hecho una interpretación literal de la disposición reglamentaria mencionada</w:t>
      </w:r>
      <w:r w:rsidRPr="0011267F">
        <w:rPr>
          <w:rFonts w:hAnsi="Calibri" w:cs="Calibri"/>
          <w:sz w:val="24"/>
          <w:szCs w:val="24"/>
          <w:vertAlign w:val="superscript"/>
          <w:lang w:val="es-ES" w:eastAsia="es-ES"/>
        </w:rPr>
        <w:footnoteReference w:id="100"/>
      </w:r>
      <w:r w:rsidRPr="0011267F">
        <w:rPr>
          <w:rFonts w:hAnsi="Calibri" w:cs="Calibri"/>
          <w:sz w:val="24"/>
          <w:szCs w:val="24"/>
          <w:lang w:val="es-ES" w:eastAsia="es-ES"/>
        </w:rPr>
        <w:t>.</w:t>
      </w:r>
    </w:p>
    <w:p w:rsidR="00D529C5" w:rsidRDefault="00D529C5" w:rsidP="008C215A">
      <w:pPr>
        <w:spacing w:after="0" w:line="240" w:lineRule="auto"/>
        <w:jc w:val="both"/>
        <w:rPr>
          <w:rFonts w:hAnsi="Calibri" w:cs="Calibri"/>
          <w:sz w:val="24"/>
          <w:szCs w:val="24"/>
          <w:lang w:val="es-ES" w:eastAsia="es-ES"/>
        </w:rPr>
      </w:pPr>
    </w:p>
    <w:p w:rsidR="00D529C5" w:rsidRPr="0011267F" w:rsidRDefault="00D529C5" w:rsidP="008C215A">
      <w:pPr>
        <w:spacing w:after="0" w:line="240" w:lineRule="auto"/>
        <w:jc w:val="both"/>
        <w:rPr>
          <w:rFonts w:hAnsi="Calibri" w:cs="Calibri"/>
          <w:sz w:val="24"/>
          <w:szCs w:val="24"/>
          <w:lang w:val="es-ES" w:eastAsia="es-ES"/>
        </w:rPr>
      </w:pPr>
      <w:r w:rsidRPr="0011267F">
        <w:rPr>
          <w:rFonts w:hAnsi="Calibri" w:cs="Calibri"/>
          <w:sz w:val="24"/>
          <w:szCs w:val="24"/>
          <w:lang w:val="es-ES" w:eastAsia="es-ES"/>
        </w:rPr>
        <w:t xml:space="preserve">Dicho precedente, </w:t>
      </w:r>
      <w:r>
        <w:rPr>
          <w:rFonts w:hAnsi="Calibri" w:cs="Calibri"/>
          <w:sz w:val="24"/>
          <w:szCs w:val="24"/>
          <w:lang w:val="es-ES" w:eastAsia="es-ES"/>
        </w:rPr>
        <w:t>se funda</w:t>
      </w:r>
      <w:r w:rsidRPr="0011267F">
        <w:rPr>
          <w:rFonts w:hAnsi="Calibri" w:cs="Calibri"/>
          <w:sz w:val="24"/>
          <w:szCs w:val="24"/>
          <w:lang w:val="es-ES" w:eastAsia="es-ES"/>
        </w:rPr>
        <w:t xml:space="preserve"> en las especiales circunstancias del caso -se encontraría plenamente acreditado que los dividendos provenientes de la sociedad constituida en un "paraíso fiscal" están completamente integrados por renta distribuida por una sociedad local que pagó, por a</w:t>
      </w:r>
      <w:r>
        <w:rPr>
          <w:rFonts w:hAnsi="Calibri" w:cs="Calibri"/>
          <w:sz w:val="24"/>
          <w:szCs w:val="24"/>
          <w:lang w:val="es-ES" w:eastAsia="es-ES"/>
        </w:rPr>
        <w:t>quellos réditos, el respectivo i</w:t>
      </w:r>
      <w:r w:rsidRPr="0011267F">
        <w:rPr>
          <w:rFonts w:hAnsi="Calibri" w:cs="Calibri"/>
          <w:sz w:val="24"/>
          <w:szCs w:val="24"/>
          <w:lang w:val="es-ES" w:eastAsia="es-ES"/>
        </w:rPr>
        <w:t xml:space="preserve">mpuesto a las </w:t>
      </w:r>
      <w:r>
        <w:rPr>
          <w:rFonts w:hAnsi="Calibri" w:cs="Calibri"/>
          <w:sz w:val="24"/>
          <w:szCs w:val="24"/>
          <w:lang w:val="es-ES" w:eastAsia="es-ES"/>
        </w:rPr>
        <w:t>g</w:t>
      </w:r>
      <w:r w:rsidRPr="0011267F">
        <w:rPr>
          <w:rFonts w:hAnsi="Calibri" w:cs="Calibri"/>
          <w:sz w:val="24"/>
          <w:szCs w:val="24"/>
          <w:lang w:val="es-ES" w:eastAsia="es-ES"/>
        </w:rPr>
        <w:t>anancias, además de haber sido la propia sociedad local la que deposit</w:t>
      </w:r>
      <w:r>
        <w:rPr>
          <w:rFonts w:hAnsi="Calibri" w:cs="Calibri"/>
          <w:sz w:val="24"/>
          <w:szCs w:val="24"/>
          <w:lang w:val="es-ES" w:eastAsia="es-ES"/>
        </w:rPr>
        <w:t>ó</w:t>
      </w:r>
      <w:r w:rsidRPr="0011267F">
        <w:rPr>
          <w:rFonts w:hAnsi="Calibri" w:cs="Calibri"/>
          <w:sz w:val="24"/>
          <w:szCs w:val="24"/>
          <w:lang w:val="es-ES" w:eastAsia="es-ES"/>
        </w:rPr>
        <w:t xml:space="preserve"> los dividendos en cuentas bancarias de los accionistas inversores en la sociedad del exterior</w:t>
      </w:r>
      <w:r>
        <w:rPr>
          <w:rFonts w:hAnsi="Calibri" w:cs="Calibri"/>
          <w:sz w:val="24"/>
          <w:szCs w:val="24"/>
          <w:lang w:val="es-ES" w:eastAsia="es-ES"/>
        </w:rPr>
        <w:t xml:space="preserve"> situada en un paraíso fiscal-.</w:t>
      </w:r>
    </w:p>
    <w:p w:rsidR="00D529C5" w:rsidRPr="0011267F" w:rsidRDefault="00D529C5" w:rsidP="008C215A">
      <w:pPr>
        <w:spacing w:after="0" w:line="240" w:lineRule="auto"/>
        <w:jc w:val="both"/>
        <w:rPr>
          <w:rFonts w:hAnsi="Calibri" w:cs="Calibri"/>
          <w:sz w:val="24"/>
          <w:szCs w:val="24"/>
          <w:lang w:val="es-ES" w:eastAsia="es-ES"/>
        </w:rPr>
      </w:pPr>
    </w:p>
    <w:p w:rsidR="00D529C5" w:rsidRDefault="00D529C5" w:rsidP="008C215A">
      <w:pPr>
        <w:spacing w:after="0" w:line="240" w:lineRule="auto"/>
        <w:jc w:val="both"/>
        <w:rPr>
          <w:rFonts w:hAnsi="Calibri" w:cs="Calibri"/>
          <w:sz w:val="24"/>
          <w:szCs w:val="24"/>
          <w:lang w:val="es-ES" w:eastAsia="es-ES"/>
        </w:rPr>
      </w:pPr>
      <w:r w:rsidRPr="0011267F">
        <w:rPr>
          <w:rFonts w:hAnsi="Calibri" w:cs="Calibri"/>
          <w:sz w:val="24"/>
          <w:szCs w:val="24"/>
          <w:lang w:val="es-ES" w:eastAsia="es-ES"/>
        </w:rPr>
        <w:t>El juez se inclina por no adoptar una interpretación aislada y literal del tercer párrafo de la norma reglamentaria citada ya que ello llevaría a invalidar el paradigma construido por el legislador de</w:t>
      </w:r>
      <w:r>
        <w:rPr>
          <w:rFonts w:hAnsi="Calibri" w:cs="Calibri"/>
          <w:sz w:val="24"/>
          <w:szCs w:val="24"/>
          <w:lang w:val="es-ES" w:eastAsia="es-ES"/>
        </w:rPr>
        <w:t>,</w:t>
      </w:r>
      <w:r w:rsidRPr="0011267F">
        <w:rPr>
          <w:rFonts w:hAnsi="Calibri" w:cs="Calibri"/>
          <w:sz w:val="24"/>
          <w:szCs w:val="24"/>
          <w:lang w:val="es-ES" w:eastAsia="es-ES"/>
        </w:rPr>
        <w:t xml:space="preserve"> evitar la doble imposición a través de la no computabilidad </w:t>
      </w:r>
      <w:r>
        <w:rPr>
          <w:rFonts w:hAnsi="Calibri" w:cs="Calibri"/>
          <w:sz w:val="24"/>
          <w:szCs w:val="24"/>
          <w:lang w:val="es-ES" w:eastAsia="es-ES"/>
        </w:rPr>
        <w:t xml:space="preserve">de los dividendos </w:t>
      </w:r>
      <w:r w:rsidRPr="0011267F">
        <w:rPr>
          <w:rFonts w:hAnsi="Calibri" w:cs="Calibri"/>
          <w:sz w:val="24"/>
          <w:szCs w:val="24"/>
          <w:lang w:val="es-ES" w:eastAsia="es-ES"/>
        </w:rPr>
        <w:t>en cabeza de su beneficiario atento el impuesto a la renta que los mismos soportaron al haber sido previamente impuestos los resultados de la sociedad que los origin</w:t>
      </w:r>
      <w:r>
        <w:rPr>
          <w:rFonts w:hAnsi="Calibri" w:cs="Calibri"/>
          <w:sz w:val="24"/>
          <w:szCs w:val="24"/>
          <w:lang w:val="es-ES" w:eastAsia="es-ES"/>
        </w:rPr>
        <w:t>ó</w:t>
      </w:r>
      <w:r w:rsidRPr="0011267F">
        <w:rPr>
          <w:rFonts w:hAnsi="Calibri" w:cs="Calibri"/>
          <w:sz w:val="24"/>
          <w:szCs w:val="24"/>
          <w:lang w:val="es-ES" w:eastAsia="es-ES"/>
        </w:rPr>
        <w:t>. Si se obligara a su computabilidad, entonces, se produciría la situación que precisamente el legislador tuvo en la mira evitar. Se recalca que</w:t>
      </w:r>
      <w:r>
        <w:rPr>
          <w:rFonts w:hAnsi="Calibri" w:cs="Calibri"/>
          <w:sz w:val="24"/>
          <w:szCs w:val="24"/>
          <w:lang w:val="es-ES" w:eastAsia="es-ES"/>
        </w:rPr>
        <w:t>,</w:t>
      </w:r>
      <w:r w:rsidRPr="0011267F">
        <w:rPr>
          <w:rFonts w:hAnsi="Calibri" w:cs="Calibri"/>
          <w:sz w:val="24"/>
          <w:szCs w:val="24"/>
          <w:lang w:val="es-ES" w:eastAsia="es-ES"/>
        </w:rPr>
        <w:t xml:space="preserve"> </w:t>
      </w:r>
      <w:r>
        <w:rPr>
          <w:rFonts w:hAnsi="Calibri" w:cs="Calibri"/>
          <w:sz w:val="24"/>
          <w:szCs w:val="24"/>
          <w:lang w:val="es-ES" w:eastAsia="es-ES"/>
        </w:rPr>
        <w:t xml:space="preserve">a través de </w:t>
      </w:r>
      <w:r w:rsidRPr="0011267F">
        <w:rPr>
          <w:rFonts w:hAnsi="Calibri" w:cs="Calibri"/>
          <w:sz w:val="24"/>
          <w:szCs w:val="24"/>
          <w:lang w:val="es-ES" w:eastAsia="es-ES"/>
        </w:rPr>
        <w:t xml:space="preserve">la norma reglamentaria </w:t>
      </w:r>
      <w:r>
        <w:rPr>
          <w:rFonts w:hAnsi="Calibri" w:cs="Calibri"/>
          <w:sz w:val="24"/>
          <w:szCs w:val="24"/>
          <w:lang w:val="es-ES" w:eastAsia="es-ES"/>
        </w:rPr>
        <w:t xml:space="preserve">-a criterio del juzgador- </w:t>
      </w:r>
      <w:r w:rsidRPr="0011267F">
        <w:rPr>
          <w:rFonts w:hAnsi="Calibri" w:cs="Calibri"/>
          <w:sz w:val="24"/>
          <w:szCs w:val="24"/>
          <w:lang w:val="es-ES" w:eastAsia="es-ES"/>
        </w:rPr>
        <w:t>se vulnera</w:t>
      </w:r>
      <w:r>
        <w:rPr>
          <w:rFonts w:hAnsi="Calibri" w:cs="Calibri"/>
          <w:sz w:val="24"/>
          <w:szCs w:val="24"/>
          <w:lang w:val="es-ES" w:eastAsia="es-ES"/>
        </w:rPr>
        <w:t xml:space="preserve">ría </w:t>
      </w:r>
      <w:r w:rsidRPr="0011267F">
        <w:rPr>
          <w:rFonts w:hAnsi="Calibri" w:cs="Calibri"/>
          <w:sz w:val="24"/>
          <w:szCs w:val="24"/>
          <w:lang w:val="es-ES" w:eastAsia="es-ES"/>
        </w:rPr>
        <w:t>el principio que</w:t>
      </w:r>
      <w:r>
        <w:rPr>
          <w:rFonts w:hAnsi="Calibri" w:cs="Calibri"/>
          <w:sz w:val="24"/>
          <w:szCs w:val="24"/>
          <w:lang w:val="es-ES" w:eastAsia="es-ES"/>
        </w:rPr>
        <w:t>,</w:t>
      </w:r>
      <w:r w:rsidRPr="0011267F">
        <w:rPr>
          <w:rFonts w:hAnsi="Calibri" w:cs="Calibri"/>
          <w:sz w:val="24"/>
          <w:szCs w:val="24"/>
          <w:lang w:val="es-ES" w:eastAsia="es-ES"/>
        </w:rPr>
        <w:t xml:space="preserve"> en materia de dividendos consagra la </w:t>
      </w:r>
      <w:r>
        <w:rPr>
          <w:rFonts w:hAnsi="Calibri" w:cs="Calibri"/>
          <w:sz w:val="24"/>
          <w:szCs w:val="24"/>
          <w:lang w:val="es-ES" w:eastAsia="es-ES"/>
        </w:rPr>
        <w:t>ley</w:t>
      </w:r>
      <w:r w:rsidRPr="0011267F">
        <w:rPr>
          <w:rFonts w:hAnsi="Calibri" w:cs="Calibri"/>
          <w:sz w:val="24"/>
          <w:szCs w:val="24"/>
          <w:vertAlign w:val="superscript"/>
          <w:lang w:val="es-ES" w:eastAsia="es-ES"/>
        </w:rPr>
        <w:footnoteReference w:id="101"/>
      </w:r>
      <w:r w:rsidRPr="0011267F">
        <w:rPr>
          <w:rFonts w:hAnsi="Calibri" w:cs="Calibri"/>
          <w:sz w:val="24"/>
          <w:szCs w:val="24"/>
          <w:lang w:val="es-ES" w:eastAsia="es-ES"/>
        </w:rPr>
        <w:t>, resaltándose que ese avance reglamentario podría hasta tildarse de inconstitucional al crear un nuevo hecho imponible</w:t>
      </w:r>
      <w:r w:rsidRPr="0011267F">
        <w:rPr>
          <w:rFonts w:hAnsi="Calibri" w:cs="Calibri"/>
          <w:sz w:val="24"/>
          <w:szCs w:val="24"/>
          <w:vertAlign w:val="superscript"/>
          <w:lang w:val="es-ES" w:eastAsia="es-ES"/>
        </w:rPr>
        <w:footnoteReference w:id="102"/>
      </w:r>
      <w:r w:rsidRPr="0011267F">
        <w:rPr>
          <w:rFonts w:hAnsi="Calibri" w:cs="Calibri"/>
          <w:sz w:val="24"/>
          <w:szCs w:val="24"/>
          <w:lang w:val="es-ES" w:eastAsia="es-ES"/>
        </w:rPr>
        <w:t>.</w:t>
      </w:r>
    </w:p>
    <w:p w:rsidR="00D529C5" w:rsidRDefault="00D529C5" w:rsidP="008C215A">
      <w:pPr>
        <w:spacing w:after="0" w:line="240" w:lineRule="auto"/>
        <w:jc w:val="both"/>
        <w:rPr>
          <w:rFonts w:hAnsi="Calibri" w:cs="Calibri"/>
          <w:sz w:val="24"/>
          <w:szCs w:val="24"/>
          <w:lang w:val="es-ES" w:eastAsia="es-ES"/>
        </w:rPr>
      </w:pPr>
    </w:p>
    <w:p w:rsidR="00D529C5" w:rsidRPr="0011267F" w:rsidRDefault="00D529C5" w:rsidP="008C215A">
      <w:pPr>
        <w:spacing w:after="0" w:line="240" w:lineRule="auto"/>
        <w:jc w:val="both"/>
        <w:rPr>
          <w:rFonts w:hAnsi="Calibri" w:cs="Calibri"/>
          <w:b/>
          <w:color w:val="111111"/>
          <w:sz w:val="24"/>
          <w:szCs w:val="24"/>
        </w:rPr>
      </w:pPr>
      <w:r w:rsidRPr="0011267F">
        <w:rPr>
          <w:rFonts w:hAnsi="Calibri" w:cs="Calibri"/>
          <w:sz w:val="24"/>
          <w:szCs w:val="24"/>
          <w:lang w:val="es-ES" w:eastAsia="es-ES"/>
        </w:rPr>
        <w:t>Cabría concluir, entonces, que la normativa reglamentaria podría flexibilizarse admitiendo la no computabilidad de dividendos distribuidos por la sociedad extranjera en la medida que se demuestre fehacientemente que los mismos estén integrados por ganancias distribuidas por la sociedad argentina, que tributaron el impuesto conforme con lo establecido en el artículo 69 de la ley y, de corresponder</w:t>
      </w:r>
      <w:r>
        <w:rPr>
          <w:rFonts w:hAnsi="Calibri" w:cs="Calibri"/>
          <w:sz w:val="24"/>
          <w:szCs w:val="24"/>
          <w:lang w:val="es-ES" w:eastAsia="es-ES"/>
        </w:rPr>
        <w:t>,</w:t>
      </w:r>
      <w:r w:rsidRPr="0011267F">
        <w:rPr>
          <w:rFonts w:hAnsi="Calibri" w:cs="Calibri"/>
          <w:sz w:val="24"/>
          <w:szCs w:val="24"/>
          <w:lang w:val="es-ES" w:eastAsia="es-ES"/>
        </w:rPr>
        <w:t xml:space="preserve"> el impuesto de igualación. </w:t>
      </w:r>
    </w:p>
    <w:p w:rsidR="00D529C5" w:rsidRPr="0011267F" w:rsidRDefault="00D529C5" w:rsidP="008C215A">
      <w:pPr>
        <w:pStyle w:val="NormalWeb"/>
        <w:shd w:val="clear" w:color="auto" w:fill="FFFFFF"/>
        <w:spacing w:before="0" w:beforeAutospacing="0" w:after="0" w:afterAutospacing="0"/>
        <w:jc w:val="both"/>
        <w:rPr>
          <w:rFonts w:ascii="Calibri" w:hAnsi="Calibri" w:cs="Calibri"/>
          <w:b/>
          <w:color w:val="111111"/>
        </w:rPr>
      </w:pPr>
    </w:p>
    <w:p w:rsidR="00D529C5" w:rsidRPr="00EE580B" w:rsidRDefault="00D529C5" w:rsidP="00B609F0">
      <w:pPr>
        <w:pStyle w:val="Heading2"/>
        <w:numPr>
          <w:ilvl w:val="1"/>
          <w:numId w:val="39"/>
        </w:numPr>
      </w:pPr>
      <w:bookmarkStart w:id="59" w:name="_Toc492313340"/>
      <w:r w:rsidRPr="00EE580B">
        <w:t>A través de un fideicomiso ordinario</w:t>
      </w:r>
      <w:bookmarkEnd w:id="59"/>
    </w:p>
    <w:p w:rsidR="00D529C5" w:rsidRPr="0011267F" w:rsidRDefault="00D529C5" w:rsidP="008C215A">
      <w:pPr>
        <w:spacing w:after="0" w:line="240" w:lineRule="auto"/>
        <w:jc w:val="both"/>
        <w:rPr>
          <w:rFonts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La ley establece que encuadran como rentas de la segunda categoría las rentas del exterior que se obtengan en carácter beneficiario de un fideicomiso o figura jurídica equivalente</w:t>
      </w:r>
      <w:r w:rsidRPr="0011267F">
        <w:rPr>
          <w:rStyle w:val="FootnoteReference"/>
          <w:rFonts w:hAnsi="Calibri" w:cs="Calibri"/>
          <w:sz w:val="24"/>
          <w:szCs w:val="24"/>
        </w:rPr>
        <w:footnoteReference w:id="103"/>
      </w:r>
      <w:r w:rsidRPr="0011267F">
        <w:rPr>
          <w:rFonts w:hAnsi="Calibri" w:cs="Calibri"/>
          <w:sz w:val="24"/>
          <w:szCs w:val="24"/>
        </w:rPr>
        <w:t xml:space="preserve">. </w:t>
      </w:r>
    </w:p>
    <w:p w:rsidR="00D529C5" w:rsidRPr="0011267F" w:rsidRDefault="00D529C5" w:rsidP="008C215A">
      <w:pPr>
        <w:spacing w:after="0" w:line="240" w:lineRule="auto"/>
        <w:jc w:val="both"/>
        <w:rPr>
          <w:rFonts w:hAnsi="Calibri" w:cs="Calibri"/>
          <w:sz w:val="24"/>
          <w:szCs w:val="24"/>
        </w:rPr>
      </w:pPr>
    </w:p>
    <w:p w:rsidR="00D529C5" w:rsidRPr="0011267F" w:rsidRDefault="00D529C5" w:rsidP="00F87B30">
      <w:pPr>
        <w:pStyle w:val="BodyTextIndent2"/>
        <w:tabs>
          <w:tab w:val="left" w:pos="709"/>
          <w:tab w:val="left" w:pos="1134"/>
          <w:tab w:val="left" w:pos="2160"/>
        </w:tabs>
        <w:ind w:firstLine="0"/>
        <w:rPr>
          <w:rFonts w:ascii="Calibri" w:hAnsi="Calibri" w:cs="Calibri"/>
          <w:i/>
          <w:sz w:val="24"/>
          <w:szCs w:val="24"/>
        </w:rPr>
      </w:pPr>
      <w:r w:rsidRPr="0011267F">
        <w:rPr>
          <w:rFonts w:ascii="Calibri" w:hAnsi="Calibri" w:cs="Calibri"/>
          <w:sz w:val="24"/>
          <w:szCs w:val="24"/>
        </w:rPr>
        <w:t>Al respecto, se expresa que</w:t>
      </w:r>
      <w:r w:rsidRPr="0011267F">
        <w:rPr>
          <w:rStyle w:val="FootnoteReference"/>
          <w:rFonts w:ascii="Calibri" w:hAnsi="Calibri" w:cs="Calibri"/>
          <w:sz w:val="24"/>
          <w:szCs w:val="24"/>
        </w:rPr>
        <w:footnoteReference w:id="104"/>
      </w:r>
      <w:r w:rsidRPr="0011267F">
        <w:rPr>
          <w:rFonts w:ascii="Calibri" w:hAnsi="Calibri" w:cs="Calibri"/>
          <w:sz w:val="24"/>
          <w:szCs w:val="24"/>
        </w:rPr>
        <w:t xml:space="preserve"> </w:t>
      </w:r>
      <w:r w:rsidRPr="0011267F">
        <w:rPr>
          <w:rFonts w:ascii="Calibri" w:hAnsi="Calibri" w:cs="Calibri"/>
          <w:i/>
          <w:sz w:val="24"/>
          <w:szCs w:val="24"/>
        </w:rPr>
        <w:t xml:space="preserve">[E]l reglamento omite aclarar qué se entiende por figuras jurídicas equivalentes a los fideicomisos de la legislación argentina (Ley 24.441, Título I y normas reglamentarias y complementarias), atento a las marcadas divergencias jurídicas existentes entre el instituto del trust anglosajón y el fideicomiso del derecho continental, con sus variantes intermedias en el derecho comparado], </w:t>
      </w:r>
      <w:r w:rsidRPr="0011267F">
        <w:rPr>
          <w:rFonts w:ascii="Calibri" w:hAnsi="Calibri" w:cs="Calibri"/>
          <w:sz w:val="24"/>
          <w:szCs w:val="24"/>
        </w:rPr>
        <w:t xml:space="preserve">concluyendo que </w:t>
      </w:r>
      <w:r w:rsidRPr="0011267F">
        <w:rPr>
          <w:rFonts w:ascii="Calibri" w:hAnsi="Calibri" w:cs="Calibri"/>
          <w:i/>
          <w:sz w:val="24"/>
          <w:szCs w:val="24"/>
        </w:rPr>
        <w:t>[…]la equivalencia debería ponderarse evaluando el contrato en particular en comparación con los caracteres jurídicos típicos del fideicomiso de la Ley 24.441…].</w:t>
      </w:r>
      <w:r w:rsidRPr="0011267F">
        <w:rPr>
          <w:rFonts w:ascii="Calibri" w:hAnsi="Calibri" w:cs="Calibri"/>
          <w:sz w:val="24"/>
          <w:szCs w:val="24"/>
        </w:rPr>
        <w:t xml:space="preserve"> Por lo tanto, deduce que </w:t>
      </w:r>
      <w:r w:rsidRPr="0011267F">
        <w:rPr>
          <w:rFonts w:ascii="Calibri" w:hAnsi="Calibri" w:cs="Calibri"/>
          <w:i/>
          <w:sz w:val="24"/>
          <w:szCs w:val="24"/>
        </w:rPr>
        <w:t>[…] los trusts revocables por el constituyente (settlor) y los denominados trusts ‘fijos’ (donde el beneficiario tiene inmediato derecho del producido del trust) …no son ‘equivalentes’ a los fideicomisos de la Ley 24.441, Título I, sin perjuicio de reiterar que habrá que analizar la casuística de cada negocio jurídico para determinar la equivalencia o la falta de equivalencia en el caso].</w:t>
      </w:r>
    </w:p>
    <w:p w:rsidR="00D529C5" w:rsidRDefault="00D529C5" w:rsidP="00F87B30">
      <w:pPr>
        <w:pStyle w:val="BodyTextIndent2"/>
        <w:tabs>
          <w:tab w:val="left" w:pos="709"/>
          <w:tab w:val="left" w:pos="1134"/>
          <w:tab w:val="left" w:pos="2160"/>
        </w:tabs>
        <w:ind w:firstLine="0"/>
        <w:rPr>
          <w:rFonts w:ascii="Calibri" w:hAnsi="Calibri" w:cs="Calibri"/>
          <w:i/>
          <w:sz w:val="24"/>
          <w:szCs w:val="24"/>
        </w:rPr>
      </w:pPr>
    </w:p>
    <w:p w:rsidR="00D529C5" w:rsidRPr="005C0C89" w:rsidRDefault="00D529C5" w:rsidP="005C0C89">
      <w:pPr>
        <w:pStyle w:val="BodyTextIndent2"/>
        <w:tabs>
          <w:tab w:val="left" w:pos="709"/>
          <w:tab w:val="left" w:pos="1134"/>
          <w:tab w:val="left" w:pos="2160"/>
        </w:tabs>
        <w:ind w:firstLine="0"/>
        <w:rPr>
          <w:rFonts w:ascii="Calibri" w:hAnsi="Calibri" w:cs="Calibri"/>
          <w:sz w:val="24"/>
          <w:szCs w:val="24"/>
        </w:rPr>
      </w:pPr>
      <w:r w:rsidRPr="005C0C89">
        <w:rPr>
          <w:rFonts w:ascii="Calibri" w:hAnsi="Calibri" w:cs="Calibri"/>
          <w:sz w:val="24"/>
          <w:szCs w:val="24"/>
        </w:rPr>
        <w:t>El término “figura jurídica equivalente” es impreciso. Al respecto podríamos decir que</w:t>
      </w:r>
      <w:r>
        <w:rPr>
          <w:rFonts w:ascii="Calibri" w:hAnsi="Calibri" w:cs="Calibri"/>
          <w:sz w:val="24"/>
          <w:szCs w:val="24"/>
        </w:rPr>
        <w:t>,</w:t>
      </w:r>
      <w:r w:rsidRPr="005C0C89">
        <w:rPr>
          <w:rFonts w:ascii="Calibri" w:hAnsi="Calibri" w:cs="Calibri"/>
          <w:sz w:val="24"/>
          <w:szCs w:val="24"/>
        </w:rPr>
        <w:t xml:space="preserve"> el término anglosajón “trust” delinea de cierta manera una figura equivalente a la del fideicomiso, ya que representa a las relaciones jurídicas creadas por acto inter vivos, por una persona (el constituyente), mediante la colocación de bienes bajo el control del trustee (el administrador), con un fin determinado, donde los bienes del trust constituyen un fondo separado y no forman parte del patrimonio del trustee. De ello se puede deducir que, las rentas producidas por un patrimonio diferenciado del perteneciente al sujeto del país quedan alcanzadas por las disposiciones transcriptas, y, por ejemplo, las ganancias obtenidas por residentes del país en su condición de beneficiarios, herederos de un trust testamentario constituido en el exterior, quedarán sujetas a gravamen. </w:t>
      </w:r>
    </w:p>
    <w:p w:rsidR="00D529C5" w:rsidRPr="005C0C89" w:rsidRDefault="00D529C5" w:rsidP="008C215A">
      <w:pPr>
        <w:pStyle w:val="BodyTextIndent2"/>
        <w:tabs>
          <w:tab w:val="left" w:pos="709"/>
          <w:tab w:val="left" w:pos="1134"/>
          <w:tab w:val="left" w:pos="2160"/>
        </w:tabs>
        <w:ind w:firstLine="0"/>
        <w:rPr>
          <w:rFonts w:ascii="Calibri" w:hAnsi="Calibri" w:cs="Calibri"/>
          <w:sz w:val="24"/>
          <w:szCs w:val="24"/>
          <w:lang w:val="es-AR"/>
        </w:rPr>
      </w:pPr>
    </w:p>
    <w:p w:rsidR="00D529C5" w:rsidRPr="005C0C89" w:rsidRDefault="00D529C5" w:rsidP="008C215A">
      <w:pPr>
        <w:pStyle w:val="BodyTextIndent2"/>
        <w:tabs>
          <w:tab w:val="left" w:pos="709"/>
          <w:tab w:val="left" w:pos="1134"/>
          <w:tab w:val="left" w:pos="2160"/>
        </w:tabs>
        <w:ind w:firstLine="0"/>
        <w:rPr>
          <w:rFonts w:ascii="Calibri" w:hAnsi="Calibri" w:cs="Calibri"/>
          <w:sz w:val="24"/>
          <w:szCs w:val="24"/>
        </w:rPr>
      </w:pPr>
      <w:r w:rsidRPr="005C0C89">
        <w:rPr>
          <w:rFonts w:ascii="Calibri" w:hAnsi="Calibri" w:cs="Calibri"/>
          <w:sz w:val="24"/>
          <w:szCs w:val="24"/>
          <w:lang w:val="es-AR"/>
        </w:rPr>
        <w:t xml:space="preserve">El Fisco interpretó que </w:t>
      </w:r>
      <w:r w:rsidRPr="005C0C89">
        <w:rPr>
          <w:rFonts w:ascii="Calibri" w:hAnsi="Calibri" w:cs="Calibri"/>
          <w:sz w:val="24"/>
          <w:szCs w:val="24"/>
        </w:rPr>
        <w:t>la figura de un trust constituido en Estados Unidos resulta “equivalente” a los fideicomisos a los que se refiere la ley de impuesto a las ganancias</w:t>
      </w:r>
      <w:r w:rsidRPr="005C0C89">
        <w:rPr>
          <w:rStyle w:val="FootnoteReference"/>
          <w:rFonts w:ascii="Calibri" w:hAnsi="Calibri" w:cs="Calibri"/>
          <w:sz w:val="24"/>
          <w:szCs w:val="24"/>
        </w:rPr>
        <w:footnoteReference w:id="105"/>
      </w:r>
      <w:r w:rsidRPr="005C0C89">
        <w:rPr>
          <w:rFonts w:ascii="Calibri" w:hAnsi="Calibri" w:cs="Calibri"/>
          <w:sz w:val="24"/>
          <w:szCs w:val="24"/>
        </w:rPr>
        <w:t>.</w:t>
      </w:r>
    </w:p>
    <w:p w:rsidR="00D529C5" w:rsidRDefault="00D529C5" w:rsidP="008C215A">
      <w:pPr>
        <w:pStyle w:val="NormalWeb"/>
        <w:spacing w:before="0" w:beforeAutospacing="0" w:after="0" w:afterAutospacing="0"/>
        <w:jc w:val="both"/>
        <w:rPr>
          <w:rFonts w:ascii="Calibri" w:hAnsi="Calibri" w:cs="Calibri"/>
        </w:rPr>
      </w:pPr>
    </w:p>
    <w:p w:rsidR="00D529C5" w:rsidRPr="0011267F" w:rsidRDefault="00D529C5" w:rsidP="008C215A">
      <w:pPr>
        <w:pStyle w:val="NormalWeb"/>
        <w:spacing w:before="0" w:beforeAutospacing="0" w:after="0" w:afterAutospacing="0"/>
        <w:jc w:val="both"/>
        <w:rPr>
          <w:rFonts w:ascii="Calibri" w:hAnsi="Calibri" w:cs="Calibri"/>
        </w:rPr>
      </w:pPr>
      <w:r w:rsidRPr="005C0C89">
        <w:rPr>
          <w:rFonts w:ascii="Calibri" w:hAnsi="Calibri" w:cs="Calibri"/>
        </w:rPr>
        <w:t xml:space="preserve">Asimismo, el Organismo Fiscal se pronunció, si bien </w:t>
      </w:r>
      <w:r>
        <w:rPr>
          <w:rFonts w:ascii="Calibri" w:hAnsi="Calibri" w:cs="Calibri"/>
        </w:rPr>
        <w:t xml:space="preserve">respecto </w:t>
      </w:r>
      <w:r w:rsidRPr="005C0C89">
        <w:rPr>
          <w:rFonts w:ascii="Calibri" w:hAnsi="Calibri" w:cs="Calibri"/>
        </w:rPr>
        <w:t>al tratamiento</w:t>
      </w:r>
      <w:r w:rsidRPr="0011267F">
        <w:rPr>
          <w:rFonts w:ascii="Calibri" w:hAnsi="Calibri" w:cs="Calibri"/>
        </w:rPr>
        <w:t xml:space="preserve"> en el impuesto sobre los bienes personales, en relación a un trust irrevocable constituido en Nueva Zelanda que se describe como una figura equivalente pero no idéntica a la del fideicomiso</w:t>
      </w:r>
      <w:r>
        <w:rPr>
          <w:rFonts w:ascii="Calibri" w:hAnsi="Calibri" w:cs="Calibri"/>
        </w:rPr>
        <w:t>.</w:t>
      </w:r>
      <w:r w:rsidRPr="0011267F">
        <w:rPr>
          <w:rFonts w:ascii="Calibri" w:hAnsi="Calibri" w:cs="Calibri"/>
        </w:rPr>
        <w:t xml:space="preserve"> En ese contexto, el Fisco recordó:</w:t>
      </w:r>
    </w:p>
    <w:p w:rsidR="00D529C5" w:rsidRPr="0011267F" w:rsidRDefault="00D529C5" w:rsidP="008C215A">
      <w:pPr>
        <w:pStyle w:val="NormalWeb"/>
        <w:spacing w:before="0" w:beforeAutospacing="0" w:after="0" w:afterAutospacing="0"/>
        <w:jc w:val="both"/>
        <w:rPr>
          <w:rFonts w:ascii="Calibri" w:hAnsi="Calibri" w:cs="Calibri"/>
        </w:rPr>
      </w:pPr>
    </w:p>
    <w:p w:rsidR="00D529C5" w:rsidRPr="0011267F" w:rsidRDefault="00D529C5" w:rsidP="008C215A">
      <w:pPr>
        <w:pStyle w:val="NormalWeb"/>
        <w:spacing w:before="0" w:beforeAutospacing="0" w:after="0" w:afterAutospacing="0"/>
        <w:jc w:val="both"/>
        <w:rPr>
          <w:rFonts w:ascii="Calibri" w:hAnsi="Calibri" w:cs="Calibri"/>
          <w:i/>
        </w:rPr>
      </w:pPr>
      <w:r w:rsidRPr="0011267F">
        <w:rPr>
          <w:rFonts w:ascii="Calibri" w:hAnsi="Calibri" w:cs="Calibri"/>
          <w:i/>
        </w:rPr>
        <w:t>[E]n el marco de un contrato de Trust, el fiduciante se desprende de los bienes fideicomitidos en ocasión de celebrase el contrato los cuales pasan a formar parte de un fondo separado ...".</w:t>
      </w:r>
    </w:p>
    <w:p w:rsidR="00D529C5" w:rsidRPr="0011267F" w:rsidRDefault="00D529C5" w:rsidP="008C215A">
      <w:pPr>
        <w:pStyle w:val="NormalWeb"/>
        <w:spacing w:before="0" w:beforeAutospacing="0" w:after="0" w:afterAutospacing="0"/>
        <w:jc w:val="both"/>
        <w:rPr>
          <w:rFonts w:ascii="Calibri" w:hAnsi="Calibri" w:cs="Calibri"/>
          <w:i/>
        </w:rPr>
      </w:pPr>
      <w:r w:rsidRPr="0011267F">
        <w:rPr>
          <w:rFonts w:ascii="Calibri" w:hAnsi="Calibri" w:cs="Calibri"/>
          <w:i/>
        </w:rPr>
        <w:t>-"El trust que se analiza involucra la condición de irrevocabilidad por parte del fiduciante, motivo por el cual los bienes no retornan a su patrimonio".</w:t>
      </w:r>
    </w:p>
    <w:p w:rsidR="00D529C5" w:rsidRPr="0011267F" w:rsidRDefault="00D529C5" w:rsidP="008C215A">
      <w:pPr>
        <w:pStyle w:val="NormalWeb"/>
        <w:spacing w:before="0" w:beforeAutospacing="0" w:after="0" w:afterAutospacing="0"/>
        <w:jc w:val="both"/>
        <w:rPr>
          <w:rFonts w:ascii="Calibri" w:hAnsi="Calibri" w:cs="Calibri"/>
        </w:rPr>
      </w:pPr>
      <w:r w:rsidRPr="0011267F">
        <w:rPr>
          <w:rFonts w:ascii="Calibri" w:hAnsi="Calibri" w:cs="Calibri"/>
          <w:i/>
        </w:rPr>
        <w:t xml:space="preserve">-"El principio de la realidad económica resulta de aplicación cuando se demuestre que las formas jurídicas adoptadas son inadecuadas respecto del objeto del </w:t>
      </w:r>
      <w:r w:rsidRPr="005C0C89">
        <w:rPr>
          <w:rFonts w:ascii="Calibri" w:hAnsi="Calibri" w:cs="Calibri"/>
          <w:i/>
        </w:rPr>
        <w:t>contrato].</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lang w:val="es-AR"/>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sidRPr="0011267F">
        <w:rPr>
          <w:rFonts w:ascii="Calibri" w:hAnsi="Calibri" w:cs="Calibri"/>
          <w:sz w:val="24"/>
          <w:szCs w:val="24"/>
          <w:lang w:val="es-AR"/>
        </w:rPr>
        <w:t xml:space="preserve">Delineados estos aspectos que caracterizan a la figura equivalente al fideicomiso a que se refiere el artículo 140 inc. b), debe tenerse presente también que en la eventualidad que fuere aplicable el principio de la realidad económica -a fin de destruir la presunción de legitimidad de que gozan los contratos- requerirá </w:t>
      </w:r>
      <w:r w:rsidRPr="0011267F">
        <w:rPr>
          <w:rFonts w:ascii="Calibri" w:hAnsi="Calibri" w:cs="Calibri"/>
          <w:i/>
          <w:sz w:val="24"/>
          <w:szCs w:val="24"/>
          <w:lang w:val="es-AR"/>
        </w:rPr>
        <w:t>[</w:t>
      </w:r>
      <w:r w:rsidRPr="0011267F">
        <w:rPr>
          <w:rFonts w:ascii="Calibri" w:hAnsi="Calibri" w:cs="Calibri"/>
          <w:i/>
          <w:sz w:val="24"/>
          <w:szCs w:val="24"/>
        </w:rPr>
        <w:t>p]resentación de probanzas serias, precisas y concordantes que refuten la fuerza y efecto de dichos actos]</w:t>
      </w:r>
      <w:r w:rsidRPr="0011267F">
        <w:rPr>
          <w:rStyle w:val="FootnoteReference"/>
          <w:rFonts w:ascii="Calibri" w:hAnsi="Calibri" w:cs="Calibri"/>
          <w:sz w:val="24"/>
          <w:szCs w:val="24"/>
        </w:rPr>
        <w:footnoteReference w:id="106"/>
      </w:r>
      <w:r w:rsidRPr="0011267F">
        <w:rPr>
          <w:rFonts w:ascii="Calibri" w:hAnsi="Calibri" w:cs="Calibri"/>
          <w:sz w:val="24"/>
          <w:szCs w:val="24"/>
        </w:rPr>
        <w:t>.</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sidRPr="0011267F">
        <w:rPr>
          <w:rFonts w:ascii="Calibri" w:hAnsi="Calibri" w:cs="Calibri"/>
          <w:sz w:val="24"/>
          <w:szCs w:val="24"/>
        </w:rPr>
        <w:t xml:space="preserve">En cuanto a los resultados del fideicomiso del exterior constituirán </w:t>
      </w:r>
      <w:r w:rsidRPr="0011267F">
        <w:rPr>
          <w:rFonts w:ascii="Calibri" w:hAnsi="Calibri" w:cs="Calibri"/>
          <w:i/>
          <w:sz w:val="24"/>
          <w:szCs w:val="24"/>
        </w:rPr>
        <w:t>[…] ganancias todas las distribuciones que realice el fideicomiso o figura equivalente, salvo prueba en contrario que</w:t>
      </w:r>
      <w:r w:rsidRPr="0011267F">
        <w:rPr>
          <w:rFonts w:ascii="Calibri" w:hAnsi="Calibri" w:cs="Calibri"/>
          <w:i/>
          <w:color w:val="FF0000"/>
          <w:sz w:val="24"/>
          <w:szCs w:val="24"/>
        </w:rPr>
        <w:t xml:space="preserve"> </w:t>
      </w:r>
      <w:r w:rsidRPr="0011267F">
        <w:rPr>
          <w:rFonts w:ascii="Calibri" w:hAnsi="Calibri" w:cs="Calibri"/>
          <w:i/>
          <w:sz w:val="24"/>
          <w:szCs w:val="24"/>
        </w:rPr>
        <w:t>demuestre fehacientemente que los mismos no obtuvieron beneficios y no poseen utilidades acumuladas generadas en períodos anteriores al último cumplido, incluidas en ambos casos las ganancias de capital y otros enriquecimientos.  Si el contribuyente probase en la forma señalada que la distribución excede los beneficios antes indicados, sólo se considerará ganancia la proporción de la distribución que corresponda a estos últimos]</w:t>
      </w:r>
      <w:r w:rsidRPr="0011267F">
        <w:rPr>
          <w:rStyle w:val="FootnoteReference"/>
          <w:rFonts w:ascii="Calibri" w:hAnsi="Calibri" w:cs="Calibri"/>
          <w:i/>
          <w:sz w:val="24"/>
          <w:szCs w:val="24"/>
        </w:rPr>
        <w:footnoteReference w:id="107"/>
      </w:r>
      <w:r w:rsidRPr="0011267F">
        <w:rPr>
          <w:rFonts w:ascii="Calibri" w:hAnsi="Calibri" w:cs="Calibri"/>
          <w:i/>
          <w:sz w:val="24"/>
          <w:szCs w:val="24"/>
        </w:rPr>
        <w:t>.</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lang w:val="es-AR"/>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Pr>
          <w:rFonts w:ascii="Calibri" w:hAnsi="Calibri" w:cs="Calibri"/>
          <w:sz w:val="24"/>
          <w:szCs w:val="24"/>
        </w:rPr>
        <w:t>Respecto,</w:t>
      </w:r>
      <w:r w:rsidRPr="0011267F">
        <w:rPr>
          <w:rFonts w:ascii="Calibri" w:hAnsi="Calibri" w:cs="Calibri"/>
          <w:sz w:val="24"/>
          <w:szCs w:val="24"/>
        </w:rPr>
        <w:t xml:space="preserve"> al momento de imputación de tales rentas,</w:t>
      </w:r>
      <w:r>
        <w:rPr>
          <w:rFonts w:ascii="Calibri" w:hAnsi="Calibri" w:cs="Calibri"/>
          <w:sz w:val="24"/>
          <w:szCs w:val="24"/>
        </w:rPr>
        <w:t xml:space="preserve"> </w:t>
      </w:r>
      <w:r w:rsidRPr="0011267F">
        <w:rPr>
          <w:rFonts w:ascii="Calibri" w:hAnsi="Calibri" w:cs="Calibri"/>
          <w:sz w:val="24"/>
          <w:szCs w:val="24"/>
        </w:rPr>
        <w:t>el artículo 18 de la ley del tributo dispone que las ganancias de la segunda categoría se imputaran de acuerdo con su percepción.</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Pr>
          <w:rFonts w:ascii="Calibri" w:hAnsi="Calibri" w:cs="Calibri"/>
          <w:sz w:val="24"/>
          <w:szCs w:val="24"/>
        </w:rPr>
        <w:t xml:space="preserve">Por lo tanto, una persona humana residente argentina </w:t>
      </w:r>
      <w:r w:rsidRPr="0011267F">
        <w:rPr>
          <w:rFonts w:ascii="Calibri" w:hAnsi="Calibri" w:cs="Calibri"/>
          <w:sz w:val="24"/>
          <w:szCs w:val="24"/>
        </w:rPr>
        <w:t>beneficiari</w:t>
      </w:r>
      <w:r>
        <w:rPr>
          <w:rFonts w:ascii="Calibri" w:hAnsi="Calibri" w:cs="Calibri"/>
          <w:sz w:val="24"/>
          <w:szCs w:val="24"/>
        </w:rPr>
        <w:t>a</w:t>
      </w:r>
      <w:r w:rsidRPr="0011267F">
        <w:rPr>
          <w:rFonts w:ascii="Calibri" w:hAnsi="Calibri" w:cs="Calibri"/>
          <w:sz w:val="24"/>
          <w:szCs w:val="24"/>
        </w:rPr>
        <w:t xml:space="preserve"> </w:t>
      </w:r>
      <w:r>
        <w:rPr>
          <w:rFonts w:ascii="Calibri" w:hAnsi="Calibri" w:cs="Calibri"/>
          <w:sz w:val="24"/>
          <w:szCs w:val="24"/>
        </w:rPr>
        <w:t xml:space="preserve">de un fideicomiso </w:t>
      </w:r>
      <w:r w:rsidRPr="0011267F">
        <w:rPr>
          <w:rFonts w:ascii="Calibri" w:hAnsi="Calibri" w:cs="Calibri"/>
          <w:sz w:val="24"/>
          <w:szCs w:val="24"/>
        </w:rPr>
        <w:t xml:space="preserve">incorporará la renta originada en el </w:t>
      </w:r>
      <w:r>
        <w:rPr>
          <w:rFonts w:ascii="Calibri" w:hAnsi="Calibri" w:cs="Calibri"/>
          <w:sz w:val="24"/>
          <w:szCs w:val="24"/>
        </w:rPr>
        <w:t>mismo</w:t>
      </w:r>
      <w:r w:rsidRPr="0011267F">
        <w:rPr>
          <w:rFonts w:ascii="Calibri" w:hAnsi="Calibri" w:cs="Calibri"/>
          <w:sz w:val="24"/>
          <w:szCs w:val="24"/>
        </w:rPr>
        <w:t xml:space="preserve"> en su declaración jurada del impuesto en el año fiscal en el que dicho fideicomiso distribuya</w:t>
      </w:r>
      <w:r w:rsidRPr="0011267F">
        <w:rPr>
          <w:rFonts w:ascii="Calibri" w:hAnsi="Calibri" w:cs="Calibri"/>
          <w:b/>
          <w:sz w:val="24"/>
          <w:szCs w:val="24"/>
        </w:rPr>
        <w:t xml:space="preserve"> </w:t>
      </w:r>
      <w:r w:rsidRPr="0011267F">
        <w:rPr>
          <w:rFonts w:ascii="Calibri" w:hAnsi="Calibri" w:cs="Calibri"/>
          <w:sz w:val="24"/>
          <w:szCs w:val="24"/>
        </w:rPr>
        <w:t xml:space="preserve">sus utilidades. </w:t>
      </w:r>
    </w:p>
    <w:p w:rsidR="00D529C5"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Pr="0011267F" w:rsidRDefault="00D529C5" w:rsidP="008C215A">
      <w:pPr>
        <w:spacing w:after="0" w:line="240" w:lineRule="auto"/>
        <w:jc w:val="both"/>
        <w:rPr>
          <w:rFonts w:hAnsi="Calibri" w:cs="Calibri"/>
          <w:sz w:val="24"/>
          <w:szCs w:val="24"/>
        </w:rPr>
      </w:pPr>
      <w:r w:rsidRPr="0011267F">
        <w:rPr>
          <w:rFonts w:hAnsi="Calibri" w:cs="Calibri"/>
          <w:sz w:val="24"/>
          <w:szCs w:val="24"/>
        </w:rPr>
        <w:t>Ahora bien, si un residente argentino participa de un fideicomiso del exterior -situado en una jurisdicción no cooperante a los fines de la transparencia fiscal- del que es fiduciante y beneficiario, y el fideicomiso recibe dividendos de sociedades ¿corresponde aplicar el denominado “régimen de transparencia” al que nos referimos en párrafos precedentes en virtud de obtener el fideicomiso del exterior rentas pasivas?</w:t>
      </w:r>
    </w:p>
    <w:p w:rsidR="00D529C5" w:rsidRPr="0011267F" w:rsidRDefault="00D529C5" w:rsidP="008C215A">
      <w:pPr>
        <w:pStyle w:val="NormalWeb"/>
        <w:shd w:val="clear" w:color="auto" w:fill="FFFFFF"/>
        <w:spacing w:before="0" w:beforeAutospacing="0" w:after="0" w:afterAutospacing="0"/>
        <w:jc w:val="both"/>
        <w:rPr>
          <w:rFonts w:ascii="Calibri" w:hAnsi="Calibri" w:cs="Calibri"/>
        </w:rPr>
      </w:pPr>
    </w:p>
    <w:p w:rsidR="00D529C5" w:rsidRDefault="00D529C5" w:rsidP="00DE2A5E">
      <w:pPr>
        <w:pStyle w:val="NormalWeb"/>
        <w:shd w:val="clear" w:color="auto" w:fill="FFFFFF"/>
        <w:spacing w:before="0" w:beforeAutospacing="0" w:after="0" w:afterAutospacing="0"/>
        <w:jc w:val="both"/>
        <w:rPr>
          <w:rFonts w:ascii="Calibri" w:hAnsi="Calibri" w:cs="Calibri"/>
        </w:rPr>
      </w:pPr>
      <w:r w:rsidRPr="0011267F">
        <w:rPr>
          <w:rFonts w:ascii="Calibri" w:hAnsi="Calibri" w:cs="Calibri"/>
        </w:rPr>
        <w:t xml:space="preserve">La respuesta es negativa, no existe una norma que prevea para estas figuras situadas en jurisdicciones no cooperantes, una disposición como </w:t>
      </w:r>
      <w:r>
        <w:rPr>
          <w:rFonts w:ascii="Calibri" w:hAnsi="Calibri" w:cs="Calibri"/>
        </w:rPr>
        <w:t>la</w:t>
      </w:r>
      <w:r w:rsidRPr="0011267F">
        <w:rPr>
          <w:rFonts w:ascii="Calibri" w:hAnsi="Calibri" w:cs="Calibri"/>
        </w:rPr>
        <w:t xml:space="preserve"> existe</w:t>
      </w:r>
      <w:r>
        <w:rPr>
          <w:rFonts w:ascii="Calibri" w:hAnsi="Calibri" w:cs="Calibri"/>
        </w:rPr>
        <w:t>nte</w:t>
      </w:r>
      <w:r w:rsidRPr="0011267F">
        <w:rPr>
          <w:rFonts w:ascii="Calibri" w:hAnsi="Calibri" w:cs="Calibri"/>
        </w:rPr>
        <w:t xml:space="preserve"> para las sociedades por acciones situadas en jurisdicciones opacas</w:t>
      </w:r>
      <w:r>
        <w:rPr>
          <w:rFonts w:ascii="Calibri" w:hAnsi="Calibri" w:cs="Calibri"/>
        </w:rPr>
        <w:t xml:space="preserve">, </w:t>
      </w:r>
      <w:r w:rsidRPr="0011267F">
        <w:rPr>
          <w:rFonts w:ascii="Calibri" w:hAnsi="Calibri" w:cs="Calibri"/>
        </w:rPr>
        <w:t xml:space="preserve"> que impacte en el momento de imputación de las rentas. Est</w:t>
      </w:r>
      <w:r>
        <w:rPr>
          <w:rFonts w:ascii="Calibri" w:hAnsi="Calibri" w:cs="Calibri"/>
        </w:rPr>
        <w:t>o</w:t>
      </w:r>
      <w:r w:rsidRPr="0011267F">
        <w:rPr>
          <w:rFonts w:ascii="Calibri" w:hAnsi="Calibri" w:cs="Calibri"/>
        </w:rPr>
        <w:t xml:space="preserve"> constituye una ventaja, ya que ante ausencia de norma anti diferimiento se pospone el reconocimiento de las utilidades por parte del beneficiario. </w:t>
      </w:r>
    </w:p>
    <w:p w:rsidR="00D529C5" w:rsidRPr="0011267F" w:rsidRDefault="00D529C5" w:rsidP="00DE2A5E">
      <w:pPr>
        <w:pStyle w:val="NormalWeb"/>
        <w:shd w:val="clear" w:color="auto" w:fill="FFFFFF"/>
        <w:spacing w:before="0" w:beforeAutospacing="0" w:after="0" w:afterAutospacing="0"/>
        <w:jc w:val="both"/>
        <w:rPr>
          <w:rFonts w:ascii="Calibri" w:hAnsi="Calibri" w:cs="Calibri"/>
        </w:rPr>
      </w:pPr>
    </w:p>
    <w:p w:rsidR="00D529C5" w:rsidRPr="0011267F" w:rsidRDefault="00D529C5" w:rsidP="008C215A">
      <w:pPr>
        <w:pStyle w:val="BodyTextIndent2"/>
        <w:tabs>
          <w:tab w:val="left" w:pos="709"/>
          <w:tab w:val="left" w:pos="1134"/>
          <w:tab w:val="left" w:pos="2160"/>
        </w:tabs>
        <w:ind w:firstLine="0"/>
        <w:rPr>
          <w:rFonts w:ascii="Calibri" w:hAnsi="Calibri" w:cs="Calibri"/>
          <w:i/>
          <w:sz w:val="24"/>
          <w:szCs w:val="24"/>
        </w:rPr>
      </w:pPr>
      <w:r w:rsidRPr="0011267F">
        <w:rPr>
          <w:rFonts w:ascii="Calibri" w:hAnsi="Calibri" w:cs="Calibri"/>
          <w:sz w:val="24"/>
          <w:szCs w:val="24"/>
        </w:rPr>
        <w:t>Al respecto, se expone que</w:t>
      </w:r>
      <w:r w:rsidRPr="0011267F">
        <w:rPr>
          <w:rStyle w:val="FootnoteReference"/>
          <w:rFonts w:ascii="Calibri" w:hAnsi="Calibri" w:cs="Calibri"/>
          <w:sz w:val="24"/>
          <w:szCs w:val="24"/>
        </w:rPr>
        <w:footnoteReference w:id="108"/>
      </w:r>
      <w:r w:rsidRPr="0011267F">
        <w:rPr>
          <w:rFonts w:ascii="Calibri" w:hAnsi="Calibri" w:cs="Calibri"/>
          <w:sz w:val="24"/>
          <w:szCs w:val="24"/>
        </w:rPr>
        <w:t xml:space="preserve"> si el beneficiario de un fideicomiso no coincide con el fiduciante, carece de un derecho inmediato y automático sobre los frutos del fondo, </w:t>
      </w:r>
      <w:r w:rsidRPr="0011267F">
        <w:rPr>
          <w:rFonts w:ascii="Calibri" w:hAnsi="Calibri" w:cs="Calibri"/>
          <w:i/>
          <w:sz w:val="24"/>
          <w:szCs w:val="24"/>
        </w:rPr>
        <w:t>[…] estando los mismos afectados en primer término a los requerimientos del fideicomiso …</w:t>
      </w:r>
      <w:r>
        <w:rPr>
          <w:rFonts w:ascii="Calibri" w:hAnsi="Calibri" w:cs="Calibri"/>
          <w:i/>
          <w:sz w:val="24"/>
          <w:szCs w:val="24"/>
        </w:rPr>
        <w:t xml:space="preserve"> </w:t>
      </w:r>
      <w:r w:rsidRPr="0011267F">
        <w:rPr>
          <w:rFonts w:ascii="Calibri" w:hAnsi="Calibri" w:cs="Calibri"/>
          <w:i/>
          <w:sz w:val="24"/>
          <w:szCs w:val="24"/>
        </w:rPr>
        <w:t>y sujetos a la decisión del fiduciario sobre su distribución a favor del beneficiario, siendo justo en consecuencia que se imputen al año fiscal de operada su distribución…]</w:t>
      </w:r>
      <w:r w:rsidRPr="0011267F">
        <w:rPr>
          <w:rStyle w:val="FootnoteReference"/>
          <w:rFonts w:ascii="Calibri" w:hAnsi="Calibri" w:cs="Calibri"/>
          <w:i/>
          <w:sz w:val="24"/>
          <w:szCs w:val="24"/>
        </w:rPr>
        <w:footnoteReference w:id="109"/>
      </w:r>
      <w:r w:rsidRPr="0011267F">
        <w:rPr>
          <w:rFonts w:ascii="Calibri" w:hAnsi="Calibri" w:cs="Calibri"/>
          <w:i/>
          <w:sz w:val="24"/>
          <w:szCs w:val="24"/>
        </w:rPr>
        <w:t>.</w:t>
      </w:r>
    </w:p>
    <w:p w:rsidR="00D529C5" w:rsidRPr="0011267F" w:rsidRDefault="00D529C5" w:rsidP="008C215A">
      <w:pPr>
        <w:pStyle w:val="BodyTextIndent2"/>
        <w:tabs>
          <w:tab w:val="left" w:pos="709"/>
          <w:tab w:val="left" w:pos="1134"/>
          <w:tab w:val="left" w:pos="2160"/>
        </w:tabs>
        <w:ind w:firstLine="0"/>
        <w:rPr>
          <w:rFonts w:ascii="Calibri" w:hAnsi="Calibri" w:cs="Calibri"/>
          <w:i/>
          <w:sz w:val="24"/>
          <w:szCs w:val="24"/>
        </w:rPr>
      </w:pP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r w:rsidRPr="0011267F">
        <w:rPr>
          <w:rFonts w:ascii="Calibri" w:hAnsi="Calibri" w:cs="Calibri"/>
          <w:sz w:val="24"/>
          <w:szCs w:val="24"/>
        </w:rPr>
        <w:t xml:space="preserve">Este mismo autor señala que la omisión en cuanto </w:t>
      </w:r>
      <w:r>
        <w:rPr>
          <w:rFonts w:ascii="Calibri" w:hAnsi="Calibri" w:cs="Calibri"/>
          <w:sz w:val="24"/>
          <w:szCs w:val="24"/>
        </w:rPr>
        <w:t xml:space="preserve">a </w:t>
      </w:r>
      <w:r w:rsidRPr="0011267F">
        <w:rPr>
          <w:rFonts w:ascii="Calibri" w:hAnsi="Calibri" w:cs="Calibri"/>
          <w:sz w:val="24"/>
          <w:szCs w:val="24"/>
        </w:rPr>
        <w:t xml:space="preserve">incluir en las disposiciones sobre transparencia fiscal internacional que la ley de impuesto a las ganancias dispone respecto de ciertas figuras </w:t>
      </w:r>
      <w:r w:rsidRPr="0011267F">
        <w:rPr>
          <w:rFonts w:ascii="Calibri" w:hAnsi="Calibri" w:cs="Calibri"/>
          <w:i/>
          <w:sz w:val="24"/>
          <w:szCs w:val="24"/>
        </w:rPr>
        <w:t xml:space="preserve">[…] conspira contra el más elemental principio de equidad], </w:t>
      </w:r>
      <w:r w:rsidRPr="0011267F">
        <w:rPr>
          <w:rFonts w:ascii="Calibri" w:hAnsi="Calibri" w:cs="Calibri"/>
          <w:sz w:val="24"/>
          <w:szCs w:val="24"/>
        </w:rPr>
        <w:t>llama la atención sobre</w:t>
      </w:r>
      <w:r w:rsidRPr="0011267F">
        <w:rPr>
          <w:rFonts w:ascii="Calibri" w:hAnsi="Calibri" w:cs="Calibri"/>
          <w:i/>
          <w:sz w:val="24"/>
          <w:szCs w:val="24"/>
        </w:rPr>
        <w:t xml:space="preserve"> […] los trusts ‘discrecionales’, es decir, aquéllos en que el fiduciante o constituyente (settlor) conserva el poder de control sobre el destino y la oportunidad de distribución de los bienes integrantes del trust y los beneficios acumulados, actuando el fiduciario (fiduciary) como un mero mandatario de aquél]</w:t>
      </w:r>
      <w:r w:rsidRPr="0011267F">
        <w:rPr>
          <w:rStyle w:val="FootnoteReference"/>
          <w:rFonts w:ascii="Calibri" w:hAnsi="Calibri" w:cs="Calibri"/>
          <w:i/>
          <w:sz w:val="24"/>
          <w:szCs w:val="24"/>
        </w:rPr>
        <w:footnoteReference w:id="110"/>
      </w:r>
      <w:r w:rsidRPr="0011267F">
        <w:rPr>
          <w:rFonts w:ascii="Calibri" w:hAnsi="Calibri" w:cs="Calibri"/>
          <w:i/>
          <w:sz w:val="24"/>
          <w:szCs w:val="24"/>
        </w:rPr>
        <w:t xml:space="preserve">. </w:t>
      </w:r>
    </w:p>
    <w:p w:rsidR="00D529C5" w:rsidRPr="0011267F" w:rsidRDefault="00D529C5" w:rsidP="008C215A">
      <w:pPr>
        <w:pStyle w:val="BodyTextIndent2"/>
        <w:tabs>
          <w:tab w:val="left" w:pos="709"/>
          <w:tab w:val="left" w:pos="1134"/>
          <w:tab w:val="left" w:pos="2160"/>
        </w:tabs>
        <w:ind w:firstLine="0"/>
        <w:rPr>
          <w:rFonts w:ascii="Calibri" w:hAnsi="Calibri" w:cs="Calibri"/>
          <w:sz w:val="24"/>
          <w:szCs w:val="24"/>
        </w:rPr>
      </w:pPr>
    </w:p>
    <w:p w:rsidR="00D529C5" w:rsidRDefault="00D529C5" w:rsidP="008C215A">
      <w:pPr>
        <w:pStyle w:val="NormalWeb"/>
        <w:shd w:val="clear" w:color="auto" w:fill="FFFFFF"/>
        <w:spacing w:before="0" w:beforeAutospacing="0" w:after="0" w:afterAutospacing="0"/>
        <w:jc w:val="both"/>
        <w:rPr>
          <w:rFonts w:ascii="Calibri" w:hAnsi="Calibri" w:cs="Calibri"/>
          <w:color w:val="231F20"/>
        </w:rPr>
      </w:pPr>
      <w:r>
        <w:rPr>
          <w:rFonts w:ascii="Calibri" w:hAnsi="Calibri" w:cs="Calibri"/>
          <w:color w:val="231F20"/>
        </w:rPr>
        <w:t>Por último, si el fideicomiso maneja títulos públicos emitidos por el Estado Nacional argentino, cuya renta se encuentra exenta del gravamen, este beneficio fiscal resulta nulo ya que, quien obtendrá el beneficio será el fideicomiso, y esta renta que conformará las que en su oportunidad distribuya el fideicomiso quedarán alcanzadas por el tributo, al alcanzar la norma a todas las distribuciones que realice el fidecomiso, salvo que demostrare que no obtuvo beneficios</w:t>
      </w:r>
      <w:r>
        <w:rPr>
          <w:rStyle w:val="FootnoteReference"/>
          <w:rFonts w:ascii="Calibri" w:hAnsi="Calibri" w:cs="Calibri"/>
          <w:color w:val="231F20"/>
        </w:rPr>
        <w:footnoteReference w:id="111"/>
      </w:r>
      <w:r>
        <w:rPr>
          <w:rFonts w:ascii="Calibri" w:hAnsi="Calibri" w:cs="Calibri"/>
          <w:color w:val="231F20"/>
        </w:rPr>
        <w:t xml:space="preserve">. </w:t>
      </w:r>
    </w:p>
    <w:p w:rsidR="00D529C5" w:rsidRDefault="00D529C5" w:rsidP="008C215A">
      <w:pPr>
        <w:pStyle w:val="NormalWeb"/>
        <w:shd w:val="clear" w:color="auto" w:fill="FFFFFF"/>
        <w:spacing w:before="0" w:beforeAutospacing="0" w:after="0" w:afterAutospacing="0"/>
        <w:jc w:val="both"/>
        <w:rPr>
          <w:rFonts w:ascii="Calibri" w:hAnsi="Calibri" w:cs="Calibri"/>
          <w:color w:val="231F20"/>
        </w:rPr>
      </w:pPr>
    </w:p>
    <w:p w:rsidR="00D529C5" w:rsidRPr="0011267F" w:rsidRDefault="00D529C5" w:rsidP="008C215A">
      <w:pPr>
        <w:pStyle w:val="NormalWeb"/>
        <w:shd w:val="clear" w:color="auto" w:fill="FFFFFF"/>
        <w:spacing w:before="0" w:beforeAutospacing="0" w:after="0" w:afterAutospacing="0"/>
        <w:jc w:val="both"/>
        <w:rPr>
          <w:rFonts w:ascii="Calibri" w:hAnsi="Calibri" w:cs="Calibri"/>
          <w:color w:val="231F20"/>
        </w:rPr>
      </w:pPr>
      <w:r w:rsidRPr="0011267F">
        <w:rPr>
          <w:rFonts w:ascii="Calibri" w:hAnsi="Calibri" w:cs="Calibri"/>
          <w:color w:val="231F20"/>
        </w:rPr>
        <w:t xml:space="preserve">Por todo lo expuesto, sería conveniente contar con reglas claras para saber en qué circunstancias un fideicomiso del exterior será considerado como una figura equivalente </w:t>
      </w:r>
      <w:r>
        <w:rPr>
          <w:rFonts w:ascii="Calibri" w:hAnsi="Calibri" w:cs="Calibri"/>
          <w:color w:val="231F20"/>
        </w:rPr>
        <w:t xml:space="preserve">–aspecto trascendente, ya que si no es equivalente, entonces es transparente y se atribuye la renta directamente al residente argentino- </w:t>
      </w:r>
      <w:r w:rsidRPr="0011267F">
        <w:rPr>
          <w:rFonts w:ascii="Calibri" w:hAnsi="Calibri" w:cs="Calibri"/>
          <w:color w:val="231F20"/>
        </w:rPr>
        <w:t xml:space="preserve">y </w:t>
      </w:r>
      <w:r>
        <w:rPr>
          <w:rFonts w:ascii="Calibri" w:hAnsi="Calibri" w:cs="Calibri"/>
          <w:color w:val="231F20"/>
        </w:rPr>
        <w:t>sí -entre otros aspectos-</w:t>
      </w:r>
      <w:r w:rsidRPr="0011267F">
        <w:rPr>
          <w:rFonts w:ascii="Calibri" w:hAnsi="Calibri" w:cs="Calibri"/>
          <w:color w:val="231F20"/>
        </w:rPr>
        <w:t xml:space="preserve"> </w:t>
      </w:r>
      <w:r>
        <w:rPr>
          <w:rFonts w:ascii="Calibri" w:hAnsi="Calibri" w:cs="Calibri"/>
          <w:color w:val="231F20"/>
        </w:rPr>
        <w:t>es</w:t>
      </w:r>
      <w:r w:rsidRPr="0011267F">
        <w:rPr>
          <w:rFonts w:ascii="Calibri" w:hAnsi="Calibri" w:cs="Calibri"/>
          <w:color w:val="231F20"/>
        </w:rPr>
        <w:t xml:space="preserve"> requisito que, el fiduciante y el beneficiario carezcan de control sobre los activos fideicomitidos.</w:t>
      </w:r>
    </w:p>
    <w:p w:rsidR="00D529C5" w:rsidRPr="003223B8" w:rsidRDefault="00D529C5" w:rsidP="00B609F0">
      <w:pPr>
        <w:pStyle w:val="Heading1"/>
        <w:numPr>
          <w:ilvl w:val="0"/>
          <w:numId w:val="39"/>
        </w:numPr>
        <w:rPr>
          <w:rFonts w:cs="Calibri"/>
          <w:sz w:val="24"/>
          <w:szCs w:val="24"/>
        </w:rPr>
      </w:pPr>
      <w:bookmarkStart w:id="61" w:name="_Toc492313341"/>
      <w:r w:rsidRPr="003223B8">
        <w:rPr>
          <w:rFonts w:cs="Calibri"/>
          <w:sz w:val="24"/>
          <w:szCs w:val="24"/>
        </w:rPr>
        <w:t>Herramientas de control</w:t>
      </w:r>
      <w:bookmarkEnd w:id="61"/>
    </w:p>
    <w:p w:rsidR="00D529C5" w:rsidRPr="0011267F" w:rsidRDefault="00D529C5" w:rsidP="00B609F0">
      <w:pPr>
        <w:pStyle w:val="Heading2"/>
        <w:numPr>
          <w:ilvl w:val="1"/>
          <w:numId w:val="39"/>
        </w:numPr>
      </w:pPr>
      <w:bookmarkStart w:id="62" w:name="_Toc491335397"/>
      <w:bookmarkStart w:id="63" w:name="_Toc492313342"/>
      <w:r w:rsidRPr="0011267F">
        <w:t>Intercambio de información</w:t>
      </w:r>
      <w:r>
        <w:t xml:space="preserve"> internacional</w:t>
      </w:r>
      <w:bookmarkEnd w:id="62"/>
      <w:bookmarkEnd w:id="63"/>
    </w:p>
    <w:p w:rsidR="00D529C5" w:rsidRDefault="00D529C5" w:rsidP="00682F24">
      <w:pPr>
        <w:spacing w:after="0" w:line="240" w:lineRule="auto"/>
        <w:rPr>
          <w:rFonts w:ascii="Arial" w:hAnsi="Arial" w:cs="Arial"/>
          <w:sz w:val="17"/>
          <w:szCs w:val="17"/>
        </w:rPr>
      </w:pPr>
    </w:p>
    <w:p w:rsidR="00D529C5" w:rsidRPr="00DE0C2B" w:rsidRDefault="00D529C5" w:rsidP="00DE0C2B">
      <w:pPr>
        <w:spacing w:after="0" w:line="240" w:lineRule="auto"/>
        <w:jc w:val="both"/>
        <w:rPr>
          <w:rFonts w:hAnsi="Calibri" w:cs="Calibri"/>
          <w:sz w:val="24"/>
          <w:szCs w:val="24"/>
        </w:rPr>
      </w:pPr>
      <w:r w:rsidRPr="00DE0C2B">
        <w:rPr>
          <w:rFonts w:hAnsi="Calibri" w:cs="Calibri"/>
          <w:sz w:val="24"/>
          <w:szCs w:val="24"/>
        </w:rPr>
        <w:t>Si bien no se puede dejar de considerar las diversas herramientas que se encuentran vigentes y que nuestra Administración Fiscal utiliza para intercambiar información con autoridades extranjeras -en sus diversas modalidades</w:t>
      </w:r>
      <w:r>
        <w:rPr>
          <w:rFonts w:hAnsi="Calibri" w:cs="Calibri"/>
          <w:sz w:val="24"/>
          <w:szCs w:val="24"/>
        </w:rPr>
        <w:t>, y</w:t>
      </w:r>
      <w:r w:rsidRPr="00DE0C2B">
        <w:rPr>
          <w:rFonts w:hAnsi="Calibri" w:cs="Calibri"/>
          <w:sz w:val="24"/>
          <w:szCs w:val="24"/>
        </w:rPr>
        <w:t xml:space="preserve"> entre ellas la</w:t>
      </w:r>
      <w:r>
        <w:rPr>
          <w:rFonts w:hAnsi="Calibri" w:cs="Calibri"/>
          <w:sz w:val="24"/>
          <w:szCs w:val="24"/>
        </w:rPr>
        <w:t>s</w:t>
      </w:r>
      <w:r w:rsidRPr="00DE0C2B">
        <w:rPr>
          <w:rFonts w:hAnsi="Calibri" w:cs="Calibri"/>
          <w:sz w:val="24"/>
          <w:szCs w:val="24"/>
        </w:rPr>
        <w:t xml:space="preserve"> más </w:t>
      </w:r>
      <w:r>
        <w:rPr>
          <w:rFonts w:hAnsi="Calibri" w:cs="Calibri"/>
          <w:sz w:val="24"/>
          <w:szCs w:val="24"/>
        </w:rPr>
        <w:t xml:space="preserve">empleadas el </w:t>
      </w:r>
      <w:r w:rsidRPr="00682F24">
        <w:rPr>
          <w:rFonts w:hAnsi="Calibri" w:cs="Calibri"/>
          <w:sz w:val="24"/>
          <w:szCs w:val="24"/>
        </w:rPr>
        <w:t xml:space="preserve">intercambio de información a </w:t>
      </w:r>
      <w:r w:rsidRPr="00DE0C2B">
        <w:rPr>
          <w:rFonts w:hAnsi="Calibri" w:cs="Calibri"/>
          <w:sz w:val="24"/>
          <w:szCs w:val="24"/>
        </w:rPr>
        <w:t xml:space="preserve">requerimiento o </w:t>
      </w:r>
      <w:r>
        <w:rPr>
          <w:rFonts w:hAnsi="Calibri" w:cs="Calibri"/>
          <w:sz w:val="24"/>
          <w:szCs w:val="24"/>
        </w:rPr>
        <w:t xml:space="preserve">el </w:t>
      </w:r>
      <w:r w:rsidRPr="00DE0C2B">
        <w:rPr>
          <w:rFonts w:hAnsi="Calibri" w:cs="Calibri"/>
          <w:sz w:val="24"/>
          <w:szCs w:val="24"/>
        </w:rPr>
        <w:t xml:space="preserve">automático por conceptos no </w:t>
      </w:r>
      <w:r w:rsidRPr="00682F24">
        <w:rPr>
          <w:rFonts w:hAnsi="Calibri" w:cs="Calibri"/>
          <w:sz w:val="24"/>
          <w:szCs w:val="24"/>
        </w:rPr>
        <w:t xml:space="preserve"> financier</w:t>
      </w:r>
      <w:r w:rsidRPr="00DE0C2B">
        <w:rPr>
          <w:rFonts w:hAnsi="Calibri" w:cs="Calibri"/>
          <w:sz w:val="24"/>
          <w:szCs w:val="24"/>
        </w:rPr>
        <w:t>os-</w:t>
      </w:r>
      <w:r>
        <w:rPr>
          <w:rFonts w:hAnsi="Calibri" w:cs="Calibri"/>
          <w:sz w:val="24"/>
          <w:szCs w:val="24"/>
        </w:rPr>
        <w:t xml:space="preserve"> debe apuntarse que, actualmente </w:t>
      </w:r>
      <w:r w:rsidRPr="00DE0C2B">
        <w:rPr>
          <w:rFonts w:hAnsi="Calibri" w:cs="Calibri"/>
          <w:sz w:val="24"/>
          <w:szCs w:val="24"/>
        </w:rPr>
        <w:t xml:space="preserve">cobra relevancia en el ámbito </w:t>
      </w:r>
      <w:r>
        <w:rPr>
          <w:rFonts w:hAnsi="Calibri" w:cs="Calibri"/>
          <w:sz w:val="24"/>
          <w:szCs w:val="24"/>
        </w:rPr>
        <w:t>internacional</w:t>
      </w:r>
      <w:r w:rsidRPr="00DE0C2B">
        <w:rPr>
          <w:rFonts w:hAnsi="Calibri" w:cs="Calibri"/>
          <w:sz w:val="24"/>
          <w:szCs w:val="24"/>
        </w:rPr>
        <w:t xml:space="preserve"> un mecanismo que es el resultado de una i</w:t>
      </w:r>
      <w:r w:rsidRPr="00682F24">
        <w:rPr>
          <w:rFonts w:hAnsi="Calibri" w:cs="Calibri"/>
          <w:sz w:val="24"/>
          <w:szCs w:val="24"/>
        </w:rPr>
        <w:t>niciativa del Grupo de los 20 países (</w:t>
      </w:r>
      <w:r w:rsidRPr="00DE0C2B">
        <w:rPr>
          <w:rFonts w:hAnsi="Calibri" w:cs="Calibri"/>
          <w:sz w:val="24"/>
          <w:szCs w:val="24"/>
        </w:rPr>
        <w:t>G20</w:t>
      </w:r>
      <w:r w:rsidRPr="00682F24">
        <w:rPr>
          <w:rFonts w:hAnsi="Calibri" w:cs="Calibri"/>
          <w:sz w:val="24"/>
          <w:szCs w:val="24"/>
        </w:rPr>
        <w:t>)</w:t>
      </w:r>
      <w:r w:rsidRPr="00DE0C2B">
        <w:rPr>
          <w:rFonts w:hAnsi="Calibri" w:cs="Calibri"/>
          <w:sz w:val="24"/>
          <w:szCs w:val="24"/>
        </w:rPr>
        <w:t xml:space="preserve"> </w:t>
      </w:r>
      <w:r>
        <w:rPr>
          <w:rFonts w:hAnsi="Calibri" w:cs="Calibri"/>
          <w:sz w:val="24"/>
          <w:szCs w:val="24"/>
        </w:rPr>
        <w:t xml:space="preserve">y </w:t>
      </w:r>
      <w:r w:rsidRPr="00682F24">
        <w:rPr>
          <w:rFonts w:hAnsi="Calibri" w:cs="Calibri"/>
          <w:sz w:val="24"/>
          <w:szCs w:val="24"/>
        </w:rPr>
        <w:t>desarrollada</w:t>
      </w:r>
      <w:r w:rsidRPr="00DE0C2B">
        <w:rPr>
          <w:rFonts w:hAnsi="Calibri" w:cs="Calibri"/>
          <w:sz w:val="24"/>
          <w:szCs w:val="24"/>
        </w:rPr>
        <w:t xml:space="preserve"> </w:t>
      </w:r>
      <w:r w:rsidRPr="00682F24">
        <w:rPr>
          <w:rFonts w:hAnsi="Calibri" w:cs="Calibri"/>
          <w:sz w:val="24"/>
          <w:szCs w:val="24"/>
        </w:rPr>
        <w:t xml:space="preserve">por la Organización para </w:t>
      </w:r>
      <w:r>
        <w:rPr>
          <w:rFonts w:hAnsi="Calibri" w:cs="Calibri"/>
          <w:sz w:val="24"/>
          <w:szCs w:val="24"/>
        </w:rPr>
        <w:t>la</w:t>
      </w:r>
      <w:r w:rsidRPr="00682F24">
        <w:rPr>
          <w:rFonts w:hAnsi="Calibri" w:cs="Calibri"/>
          <w:sz w:val="24"/>
          <w:szCs w:val="24"/>
        </w:rPr>
        <w:t xml:space="preserve"> Cooperación y el Desarrollo Económico (OCDE) referid</w:t>
      </w:r>
      <w:r>
        <w:rPr>
          <w:rFonts w:hAnsi="Calibri" w:cs="Calibri"/>
          <w:sz w:val="24"/>
          <w:szCs w:val="24"/>
        </w:rPr>
        <w:t>o</w:t>
      </w:r>
      <w:r w:rsidRPr="00682F24">
        <w:rPr>
          <w:rFonts w:hAnsi="Calibri" w:cs="Calibri"/>
          <w:sz w:val="24"/>
          <w:szCs w:val="24"/>
        </w:rPr>
        <w:t xml:space="preserve"> al </w:t>
      </w:r>
      <w:r w:rsidRPr="00DE0C2B">
        <w:rPr>
          <w:rFonts w:hAnsi="Calibri" w:cs="Calibri"/>
          <w:sz w:val="24"/>
          <w:szCs w:val="24"/>
        </w:rPr>
        <w:t>intercambio de información de tipo automático</w:t>
      </w:r>
      <w:r>
        <w:rPr>
          <w:rFonts w:hAnsi="Calibri" w:cs="Calibri"/>
          <w:sz w:val="24"/>
          <w:szCs w:val="24"/>
        </w:rPr>
        <w:t xml:space="preserve">. Precisamente, </w:t>
      </w:r>
      <w:r w:rsidRPr="00DE0C2B">
        <w:rPr>
          <w:rFonts w:hAnsi="Calibri" w:cs="Calibri"/>
          <w:sz w:val="24"/>
          <w:szCs w:val="24"/>
        </w:rPr>
        <w:t xml:space="preserve">nos </w:t>
      </w:r>
      <w:r>
        <w:rPr>
          <w:rFonts w:hAnsi="Calibri" w:cs="Calibri"/>
          <w:sz w:val="24"/>
          <w:szCs w:val="24"/>
        </w:rPr>
        <w:t>estamos refiriendo</w:t>
      </w:r>
      <w:r w:rsidRPr="00DE0C2B">
        <w:rPr>
          <w:rFonts w:hAnsi="Calibri" w:cs="Calibri"/>
          <w:sz w:val="24"/>
          <w:szCs w:val="24"/>
        </w:rPr>
        <w:t xml:space="preserve"> al </w:t>
      </w:r>
      <w:r>
        <w:rPr>
          <w:rFonts w:hAnsi="Calibri" w:cs="Calibri"/>
          <w:sz w:val="24"/>
          <w:szCs w:val="24"/>
        </w:rPr>
        <w:t>intercambio de información automático de</w:t>
      </w:r>
      <w:r w:rsidRPr="00DE0C2B">
        <w:rPr>
          <w:rFonts w:hAnsi="Calibri" w:cs="Calibri"/>
          <w:sz w:val="24"/>
          <w:szCs w:val="24"/>
        </w:rPr>
        <w:t xml:space="preserve"> c</w:t>
      </w:r>
      <w:r w:rsidRPr="00682F24">
        <w:rPr>
          <w:rFonts w:hAnsi="Calibri" w:cs="Calibri"/>
          <w:sz w:val="24"/>
          <w:szCs w:val="24"/>
        </w:rPr>
        <w:t xml:space="preserve">uentas </w:t>
      </w:r>
      <w:r w:rsidRPr="00DE0C2B">
        <w:rPr>
          <w:rFonts w:hAnsi="Calibri" w:cs="Calibri"/>
          <w:sz w:val="24"/>
          <w:szCs w:val="24"/>
        </w:rPr>
        <w:t>f</w:t>
      </w:r>
      <w:r w:rsidRPr="00682F24">
        <w:rPr>
          <w:rFonts w:hAnsi="Calibri" w:cs="Calibri"/>
          <w:sz w:val="24"/>
          <w:szCs w:val="24"/>
        </w:rPr>
        <w:t>inancieras implementado, a través del “Estándar de Reporte Común” (Common Reporting Standard, CRS</w:t>
      </w:r>
      <w:r w:rsidRPr="00DE0C2B">
        <w:rPr>
          <w:rFonts w:hAnsi="Calibri" w:cs="Calibri"/>
          <w:sz w:val="24"/>
          <w:szCs w:val="24"/>
        </w:rPr>
        <w:t xml:space="preserve"> por sus siglas en inglés). </w:t>
      </w:r>
      <w:r>
        <w:rPr>
          <w:rFonts w:hAnsi="Calibri" w:cs="Calibri"/>
          <w:sz w:val="24"/>
          <w:szCs w:val="24"/>
        </w:rPr>
        <w:t>En e</w:t>
      </w:r>
      <w:r w:rsidRPr="00DE0C2B">
        <w:rPr>
          <w:rFonts w:hAnsi="Calibri" w:cs="Calibri"/>
          <w:sz w:val="24"/>
          <w:szCs w:val="24"/>
        </w:rPr>
        <w:t>ste nuevo pilar en materia de intercambio de información se advierten dos componentes estructurales</w:t>
      </w:r>
      <w:r>
        <w:rPr>
          <w:rFonts w:hAnsi="Calibri" w:cs="Calibri"/>
          <w:sz w:val="24"/>
          <w:szCs w:val="24"/>
        </w:rPr>
        <w:t>: el CRS</w:t>
      </w:r>
      <w:r w:rsidRPr="00DE0C2B">
        <w:rPr>
          <w:rFonts w:hAnsi="Calibri" w:cs="Calibri"/>
          <w:sz w:val="24"/>
          <w:szCs w:val="24"/>
        </w:rPr>
        <w:t xml:space="preserve">, que contiene las reglas de debida diligencia y reporte que deberán cumplir las instituciones financieras e implementar en la normativa interna de cada país; y el </w:t>
      </w:r>
      <w:r w:rsidRPr="00DE0C2B">
        <w:rPr>
          <w:rFonts w:hAnsi="Calibri" w:cs="Calibri"/>
          <w:color w:val="181D22"/>
          <w:sz w:val="24"/>
          <w:szCs w:val="24"/>
          <w:shd w:val="clear" w:color="auto" w:fill="FFFFFF"/>
        </w:rPr>
        <w:t>Acuerdo Multilateral de Autoridades Competentes (</w:t>
      </w:r>
      <w:r w:rsidRPr="00DE0C2B">
        <w:rPr>
          <w:rFonts w:hAnsi="Calibri" w:cs="Calibri"/>
          <w:sz w:val="24"/>
          <w:szCs w:val="24"/>
        </w:rPr>
        <w:t>MCAA</w:t>
      </w:r>
      <w:r>
        <w:rPr>
          <w:rFonts w:hAnsi="Calibri" w:cs="Calibri"/>
          <w:sz w:val="24"/>
          <w:szCs w:val="24"/>
        </w:rPr>
        <w:t xml:space="preserve"> </w:t>
      </w:r>
      <w:r w:rsidRPr="00DE0C2B">
        <w:rPr>
          <w:rFonts w:hAnsi="Calibri" w:cs="Calibri"/>
          <w:sz w:val="24"/>
          <w:szCs w:val="24"/>
        </w:rPr>
        <w:t xml:space="preserve">por sus siglas en inglés) referido a las reglas operativas para el intercambio de información. </w:t>
      </w:r>
    </w:p>
    <w:p w:rsidR="00D529C5" w:rsidRDefault="00D529C5" w:rsidP="0011267F">
      <w:pPr>
        <w:spacing w:after="0" w:line="240" w:lineRule="auto"/>
        <w:jc w:val="both"/>
        <w:rPr>
          <w:rFonts w:hAnsi="Calibri" w:cs="Calibri"/>
          <w:color w:val="181D22"/>
          <w:sz w:val="24"/>
          <w:szCs w:val="24"/>
          <w:shd w:val="clear" w:color="auto" w:fill="FFFFFF"/>
        </w:rPr>
      </w:pPr>
    </w:p>
    <w:p w:rsidR="00D529C5" w:rsidRPr="0011267F" w:rsidRDefault="00D529C5" w:rsidP="0011267F">
      <w:pPr>
        <w:spacing w:after="0" w:line="240" w:lineRule="auto"/>
        <w:jc w:val="both"/>
        <w:rPr>
          <w:rFonts w:hAnsi="Calibri" w:cs="Calibri"/>
          <w:color w:val="181D22"/>
          <w:sz w:val="24"/>
          <w:szCs w:val="24"/>
          <w:shd w:val="clear" w:color="auto" w:fill="FFFFFF"/>
        </w:rPr>
      </w:pPr>
      <w:r w:rsidRPr="0011267F">
        <w:rPr>
          <w:rFonts w:hAnsi="Calibri" w:cs="Calibri"/>
          <w:color w:val="181D22"/>
          <w:sz w:val="24"/>
          <w:szCs w:val="24"/>
          <w:shd w:val="clear" w:color="auto" w:fill="FFFFFF"/>
        </w:rPr>
        <w:t xml:space="preserve">En el marco del CRS, Argentina ha entablado relaciones bilaterales de intercambio con numerosos países. A la fecha de emisión de este documento de trabajo, nuestro país </w:t>
      </w:r>
      <w:r>
        <w:rPr>
          <w:rFonts w:hAnsi="Calibri" w:cs="Calibri"/>
          <w:color w:val="181D22"/>
          <w:sz w:val="24"/>
          <w:szCs w:val="24"/>
          <w:shd w:val="clear" w:color="auto" w:fill="FFFFFF"/>
        </w:rPr>
        <w:t xml:space="preserve">se encuentra en condiciones proveer </w:t>
      </w:r>
      <w:r w:rsidRPr="0011267F">
        <w:rPr>
          <w:rFonts w:hAnsi="Calibri" w:cs="Calibri"/>
          <w:color w:val="181D22"/>
          <w:sz w:val="24"/>
          <w:szCs w:val="24"/>
          <w:shd w:val="clear" w:color="auto" w:fill="FFFFFF"/>
        </w:rPr>
        <w:t>información a las siguientes 45 jurisdicciones</w:t>
      </w:r>
      <w:r w:rsidRPr="0011267F">
        <w:rPr>
          <w:rStyle w:val="FootnoteReference"/>
          <w:rFonts w:hAnsi="Calibri" w:cs="Calibri"/>
          <w:color w:val="181D22"/>
          <w:sz w:val="24"/>
          <w:szCs w:val="24"/>
          <w:shd w:val="clear" w:color="auto" w:fill="FFFFFF"/>
        </w:rPr>
        <w:footnoteReference w:id="112"/>
      </w:r>
      <w:r>
        <w:rPr>
          <w:rFonts w:hAnsi="Calibri" w:cs="Calibri"/>
          <w:color w:val="181D22"/>
          <w:sz w:val="24"/>
          <w:szCs w:val="24"/>
          <w:shd w:val="clear" w:color="auto" w:fill="FFFFFF"/>
        </w:rPr>
        <w:t>, según el siguiente detalle</w:t>
      </w:r>
      <w:r w:rsidRPr="0011267F">
        <w:rPr>
          <w:rFonts w:hAnsi="Calibri" w:cs="Calibri"/>
          <w:color w:val="181D22"/>
          <w:sz w:val="24"/>
          <w:szCs w:val="24"/>
          <w:shd w:val="clear" w:color="auto" w:fill="FFFFFF"/>
        </w:rPr>
        <w:t>:</w:t>
      </w:r>
    </w:p>
    <w:p w:rsidR="00D529C5" w:rsidRPr="0011267F" w:rsidRDefault="00D529C5" w:rsidP="00BA3010">
      <w:pPr>
        <w:spacing w:after="0" w:line="240" w:lineRule="auto"/>
        <w:jc w:val="both"/>
        <w:rPr>
          <w:rFonts w:hAnsi="Calibri" w:cs="Calibri"/>
          <w:color w:val="181D22"/>
          <w:sz w:val="23"/>
          <w:szCs w:val="23"/>
          <w:shd w:val="clear" w:color="auto" w:fill="FFFFFF"/>
        </w:rPr>
      </w:pPr>
    </w:p>
    <w:p w:rsidR="00D529C5" w:rsidRPr="0011267F" w:rsidRDefault="00D529C5" w:rsidP="00BA3010">
      <w:pPr>
        <w:spacing w:after="0" w:line="240" w:lineRule="auto"/>
        <w:jc w:val="both"/>
        <w:rPr>
          <w:rFonts w:hAnsi="Calibri" w:cs="Calibri"/>
          <w:color w:val="181D22"/>
          <w:sz w:val="23"/>
          <w:szCs w:val="23"/>
          <w:shd w:val="clear" w:color="auto" w:fill="FFFFFF"/>
        </w:rPr>
      </w:pPr>
    </w:p>
    <w:tbl>
      <w:tblPr>
        <w:tblW w:w="8789" w:type="dxa"/>
        <w:tblCellSpacing w:w="25" w:type="dxa"/>
        <w:tblCellMar>
          <w:top w:w="40" w:type="dxa"/>
          <w:left w:w="40" w:type="dxa"/>
          <w:bottom w:w="40" w:type="dxa"/>
          <w:right w:w="40" w:type="dxa"/>
        </w:tblCellMar>
        <w:tblLook w:val="00A0"/>
      </w:tblPr>
      <w:tblGrid>
        <w:gridCol w:w="2410"/>
        <w:gridCol w:w="1418"/>
        <w:gridCol w:w="4961"/>
      </w:tblGrid>
      <w:tr w:rsidR="00D529C5" w:rsidRPr="007B76CE" w:rsidTr="003666CC">
        <w:trPr>
          <w:trHeight w:val="149"/>
          <w:tblCellSpacing w:w="25" w:type="dxa"/>
        </w:trPr>
        <w:tc>
          <w:tcPr>
            <w:tcW w:w="2335" w:type="dxa"/>
            <w:shd w:val="clear" w:color="auto" w:fill="104875"/>
            <w:vAlign w:val="center"/>
          </w:tcPr>
          <w:p w:rsidR="00D529C5" w:rsidRPr="007B76CE" w:rsidRDefault="00D529C5" w:rsidP="003666CC">
            <w:pPr>
              <w:spacing w:after="0" w:line="240" w:lineRule="auto"/>
              <w:jc w:val="center"/>
              <w:rPr>
                <w:rFonts w:hAnsi="Calibri" w:cs="Calibri"/>
                <w:b/>
                <w:bCs/>
                <w:sz w:val="16"/>
                <w:szCs w:val="16"/>
              </w:rPr>
            </w:pPr>
            <w:r w:rsidRPr="007B76CE">
              <w:rPr>
                <w:rFonts w:hAnsi="Calibri" w:cs="Calibri"/>
                <w:b/>
                <w:bCs/>
                <w:sz w:val="16"/>
                <w:szCs w:val="16"/>
              </w:rPr>
              <w:t>FROM JURISDICTION</w:t>
            </w:r>
          </w:p>
        </w:tc>
        <w:tc>
          <w:tcPr>
            <w:tcW w:w="1368" w:type="dxa"/>
            <w:shd w:val="clear" w:color="auto" w:fill="104875"/>
            <w:vAlign w:val="center"/>
          </w:tcPr>
          <w:p w:rsidR="00D529C5" w:rsidRPr="007B76CE" w:rsidRDefault="00D529C5" w:rsidP="003666CC">
            <w:pPr>
              <w:spacing w:after="0" w:line="240" w:lineRule="auto"/>
              <w:jc w:val="center"/>
              <w:rPr>
                <w:rFonts w:hAnsi="Calibri" w:cs="Calibri"/>
                <w:b/>
                <w:bCs/>
                <w:sz w:val="16"/>
                <w:szCs w:val="16"/>
              </w:rPr>
            </w:pPr>
            <w:r w:rsidRPr="007B76CE">
              <w:rPr>
                <w:rFonts w:hAnsi="Calibri" w:cs="Calibri"/>
                <w:b/>
                <w:bCs/>
                <w:sz w:val="16"/>
                <w:szCs w:val="16"/>
              </w:rPr>
              <w:t>TO JURISDICTION</w:t>
            </w:r>
          </w:p>
        </w:tc>
        <w:tc>
          <w:tcPr>
            <w:tcW w:w="4886" w:type="dxa"/>
            <w:shd w:val="clear" w:color="auto" w:fill="0F4577"/>
            <w:vAlign w:val="center"/>
          </w:tcPr>
          <w:p w:rsidR="00D529C5" w:rsidRPr="007B76CE" w:rsidRDefault="00D529C5" w:rsidP="003666CC">
            <w:pPr>
              <w:spacing w:after="0" w:line="240" w:lineRule="auto"/>
              <w:ind w:right="3424"/>
              <w:rPr>
                <w:rFonts w:hAnsi="Calibri" w:cs="Calibri"/>
                <w:b/>
                <w:bCs/>
                <w:sz w:val="16"/>
                <w:szCs w:val="16"/>
              </w:rPr>
            </w:pPr>
            <w:r w:rsidRPr="007B76CE">
              <w:rPr>
                <w:rFonts w:hAnsi="Calibri" w:cs="Calibri"/>
                <w:b/>
                <w:bCs/>
                <w:sz w:val="16"/>
                <w:szCs w:val="16"/>
              </w:rPr>
              <w:t>LEGAL INSTRUMENT</w:t>
            </w:r>
          </w:p>
        </w:tc>
      </w:tr>
      <w:tr w:rsidR="00D529C5" w:rsidRPr="00353AB6" w:rsidTr="005F34D5">
        <w:trPr>
          <w:tblCellSpacing w:w="25" w:type="dxa"/>
        </w:trPr>
        <w:tc>
          <w:tcPr>
            <w:tcW w:w="2335"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Australia </w:t>
            </w:r>
          </w:p>
        </w:tc>
        <w:tc>
          <w:tcPr>
            <w:tcW w:w="4886" w:type="dxa"/>
            <w:shd w:val="clear" w:color="auto" w:fill="BAD5F0"/>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Activated on 22 December 2016</w:t>
            </w:r>
          </w:p>
        </w:tc>
      </w:tr>
      <w:tr w:rsidR="00D529C5" w:rsidRPr="00353AB6" w:rsidTr="005F34D5">
        <w:trPr>
          <w:tblCellSpacing w:w="25" w:type="dxa"/>
        </w:trPr>
        <w:tc>
          <w:tcPr>
            <w:tcW w:w="2335"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Austria </w:t>
            </w:r>
          </w:p>
        </w:tc>
        <w:tc>
          <w:tcPr>
            <w:tcW w:w="4886" w:type="dxa"/>
            <w:shd w:val="clear" w:color="auto" w:fill="FFFFFF"/>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Activated on 22 December 2016</w:t>
            </w:r>
          </w:p>
        </w:tc>
      </w:tr>
      <w:tr w:rsidR="00D529C5" w:rsidRPr="00353AB6" w:rsidTr="005F34D5">
        <w:trPr>
          <w:tblCellSpacing w:w="25" w:type="dxa"/>
        </w:trPr>
        <w:tc>
          <w:tcPr>
            <w:tcW w:w="2335"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Belgium </w:t>
            </w:r>
          </w:p>
        </w:tc>
        <w:tc>
          <w:tcPr>
            <w:tcW w:w="4886" w:type="dxa"/>
            <w:shd w:val="clear" w:color="auto" w:fill="BAD5F0"/>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Effective for taxable periods starting on or after 01 January 2016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Brazil </w:t>
            </w:r>
          </w:p>
        </w:tc>
        <w:tc>
          <w:tcPr>
            <w:tcW w:w="4886" w:type="dxa"/>
            <w:shd w:val="clear" w:color="auto" w:fill="FFFFFF"/>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Effective for taxable periods starting on or after 01 January 2017 – Activated on 5 May 2017</w:t>
            </w:r>
          </w:p>
        </w:tc>
      </w:tr>
      <w:tr w:rsidR="00D529C5" w:rsidRPr="00353AB6" w:rsidTr="005F34D5">
        <w:trPr>
          <w:tblCellSpacing w:w="25" w:type="dxa"/>
        </w:trPr>
        <w:tc>
          <w:tcPr>
            <w:tcW w:w="2335"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Bulgaria </w:t>
            </w:r>
          </w:p>
        </w:tc>
        <w:tc>
          <w:tcPr>
            <w:tcW w:w="4886" w:type="dxa"/>
            <w:shd w:val="clear" w:color="auto" w:fill="BAD5F0"/>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Effective for taxable periods starting on or after 01 January 2017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Canada </w:t>
            </w:r>
          </w:p>
        </w:tc>
        <w:tc>
          <w:tcPr>
            <w:tcW w:w="4886" w:type="dxa"/>
            <w:shd w:val="clear" w:color="auto" w:fill="FFFFFF"/>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Activated on 5 May 2017</w:t>
            </w:r>
          </w:p>
        </w:tc>
      </w:tr>
      <w:tr w:rsidR="00D529C5" w:rsidRPr="00353AB6" w:rsidTr="005F34D5">
        <w:trPr>
          <w:tblCellSpacing w:w="25" w:type="dxa"/>
        </w:trPr>
        <w:tc>
          <w:tcPr>
            <w:tcW w:w="2335"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Colombia </w:t>
            </w:r>
          </w:p>
        </w:tc>
        <w:tc>
          <w:tcPr>
            <w:tcW w:w="4886" w:type="dxa"/>
            <w:shd w:val="clear" w:color="auto" w:fill="BAD5F0"/>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Activated on 22 December 2016</w:t>
            </w:r>
          </w:p>
        </w:tc>
      </w:tr>
      <w:tr w:rsidR="00D529C5" w:rsidRPr="00353AB6" w:rsidTr="005F34D5">
        <w:trPr>
          <w:tblCellSpacing w:w="25" w:type="dxa"/>
        </w:trPr>
        <w:tc>
          <w:tcPr>
            <w:tcW w:w="2335"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Czech Republic </w:t>
            </w:r>
          </w:p>
        </w:tc>
        <w:tc>
          <w:tcPr>
            <w:tcW w:w="4886" w:type="dxa"/>
            <w:shd w:val="clear" w:color="auto" w:fill="FFFFFF"/>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BAD5F0"/>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Denmark </w:t>
            </w:r>
          </w:p>
        </w:tc>
        <w:tc>
          <w:tcPr>
            <w:tcW w:w="4886" w:type="dxa"/>
            <w:shd w:val="clear" w:color="auto" w:fill="BAD5F0"/>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Argentina </w:t>
            </w:r>
          </w:p>
        </w:tc>
        <w:tc>
          <w:tcPr>
            <w:tcW w:w="1368" w:type="dxa"/>
            <w:shd w:val="clear" w:color="auto" w:fill="FFFFFF"/>
            <w:vAlign w:val="center"/>
          </w:tcPr>
          <w:p w:rsidR="00D529C5" w:rsidRPr="007B76CE" w:rsidRDefault="00D529C5" w:rsidP="008C1CC0">
            <w:pPr>
              <w:spacing w:after="0" w:line="240" w:lineRule="auto"/>
              <w:jc w:val="both"/>
              <w:rPr>
                <w:rFonts w:hAnsi="Calibri" w:cs="Calibri"/>
                <w:sz w:val="16"/>
                <w:szCs w:val="16"/>
              </w:rPr>
            </w:pPr>
            <w:r w:rsidRPr="007B76CE">
              <w:rPr>
                <w:rFonts w:hAnsi="Calibri" w:cs="Calibri"/>
                <w:sz w:val="16"/>
                <w:szCs w:val="16"/>
              </w:rPr>
              <w:t xml:space="preserve">Estonia </w:t>
            </w:r>
          </w:p>
        </w:tc>
        <w:tc>
          <w:tcPr>
            <w:tcW w:w="4886" w:type="dxa"/>
            <w:shd w:val="clear" w:color="auto" w:fill="FFFFFF"/>
            <w:vAlign w:val="center"/>
          </w:tcPr>
          <w:p w:rsidR="00D529C5" w:rsidRPr="007B76CE" w:rsidRDefault="00D529C5" w:rsidP="008C1CC0">
            <w:pPr>
              <w:spacing w:after="0" w:line="240" w:lineRule="auto"/>
              <w:jc w:val="both"/>
              <w:rPr>
                <w:rFonts w:hAnsi="Calibri" w:cs="Calibri"/>
                <w:sz w:val="16"/>
                <w:szCs w:val="16"/>
                <w:lang w:val="en-US"/>
              </w:rPr>
            </w:pPr>
            <w:r w:rsidRPr="007B76CE">
              <w:rPr>
                <w:rFonts w:hAnsi="Calibri" w:cs="Calibri"/>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Faroe Islands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Finland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France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Germany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Effective for taxable periods starting on or after 01 January 2016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Gibraltar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Greece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22 December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Greenland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22 December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Guernsey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Hungary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2016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Iceland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India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Ireland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Isle of Man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Italy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Japan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5 May 2017</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Jersey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Korea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Latvia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Liechtenstein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2017 – Activated on 22 December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Lithuania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Luxembourg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Malta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Mauritius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2017 – Activated on 22 December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Mexico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Monaco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5 May 2017</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Netherlands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Norway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Portugal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Effective for taxable periods starting on or after 01 January 2016 – Activated on 22 December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Seychelles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2016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Slovenia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South Africa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Spain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Sweden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5F34D5">
        <w:trPr>
          <w:tblCellSpacing w:w="25" w:type="dxa"/>
        </w:trPr>
        <w:tc>
          <w:tcPr>
            <w:tcW w:w="2335"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1368" w:type="dxa"/>
            <w:shd w:val="clear" w:color="auto" w:fill="FFFFFF"/>
            <w:vAlign w:val="center"/>
          </w:tcPr>
          <w:p w:rsidR="00D529C5" w:rsidRPr="007B76CE" w:rsidRDefault="00D529C5" w:rsidP="00635327">
            <w:pPr>
              <w:spacing w:after="0" w:line="240" w:lineRule="auto"/>
              <w:rPr>
                <w:rFonts w:hAnsi="Calibri" w:cs="Calibri"/>
                <w:color w:val="284775"/>
                <w:sz w:val="16"/>
                <w:szCs w:val="16"/>
              </w:rPr>
            </w:pPr>
            <w:r w:rsidRPr="007B76CE">
              <w:rPr>
                <w:rFonts w:hAnsi="Calibri" w:cs="Calibri"/>
                <w:color w:val="284775"/>
                <w:sz w:val="16"/>
                <w:szCs w:val="16"/>
              </w:rPr>
              <w:t xml:space="preserve">United Kingdom </w:t>
            </w:r>
          </w:p>
        </w:tc>
        <w:tc>
          <w:tcPr>
            <w:tcW w:w="4886" w:type="dxa"/>
            <w:shd w:val="clear" w:color="auto" w:fill="FFFFFF"/>
            <w:vAlign w:val="center"/>
          </w:tcPr>
          <w:p w:rsidR="00D529C5" w:rsidRPr="007B76CE" w:rsidRDefault="00D529C5" w:rsidP="00635327">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5F34D5">
        <w:trPr>
          <w:tblCellSpacing w:w="25" w:type="dxa"/>
        </w:trPr>
        <w:tc>
          <w:tcPr>
            <w:tcW w:w="2335"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1368" w:type="dxa"/>
            <w:shd w:val="clear" w:color="auto" w:fill="BAD5F0"/>
            <w:vAlign w:val="center"/>
          </w:tcPr>
          <w:p w:rsidR="00D529C5" w:rsidRPr="007B76CE" w:rsidRDefault="00D529C5" w:rsidP="00635327">
            <w:pPr>
              <w:spacing w:after="0" w:line="240" w:lineRule="auto"/>
              <w:rPr>
                <w:rFonts w:hAnsi="Calibri" w:cs="Calibri"/>
                <w:color w:val="333333"/>
                <w:sz w:val="16"/>
                <w:szCs w:val="16"/>
              </w:rPr>
            </w:pPr>
            <w:r w:rsidRPr="007B76CE">
              <w:rPr>
                <w:rFonts w:hAnsi="Calibri" w:cs="Calibri"/>
                <w:color w:val="333333"/>
                <w:sz w:val="16"/>
                <w:szCs w:val="16"/>
              </w:rPr>
              <w:t xml:space="preserve">Uruguay </w:t>
            </w:r>
          </w:p>
        </w:tc>
        <w:tc>
          <w:tcPr>
            <w:tcW w:w="4886" w:type="dxa"/>
            <w:shd w:val="clear" w:color="auto" w:fill="BAD5F0"/>
            <w:vAlign w:val="center"/>
          </w:tcPr>
          <w:p w:rsidR="00D529C5" w:rsidRPr="007B76CE" w:rsidRDefault="00D529C5" w:rsidP="00635327">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2017 – Activated on 5 May 2017</w:t>
            </w:r>
          </w:p>
        </w:tc>
      </w:tr>
    </w:tbl>
    <w:p w:rsidR="00D529C5" w:rsidRPr="0011267F" w:rsidRDefault="00D529C5" w:rsidP="00B35F85">
      <w:pPr>
        <w:spacing w:after="0" w:line="240" w:lineRule="auto"/>
        <w:jc w:val="both"/>
        <w:rPr>
          <w:rFonts w:hAnsi="Calibri" w:cs="Calibri"/>
          <w:sz w:val="24"/>
          <w:szCs w:val="24"/>
          <w:lang w:val="en-US"/>
        </w:rPr>
      </w:pPr>
    </w:p>
    <w:p w:rsidR="00D529C5" w:rsidRPr="0011267F" w:rsidRDefault="00D529C5" w:rsidP="00B35F85">
      <w:pPr>
        <w:spacing w:after="0" w:line="240" w:lineRule="auto"/>
        <w:jc w:val="both"/>
        <w:rPr>
          <w:rFonts w:hAnsi="Calibri" w:cs="Calibri"/>
          <w:sz w:val="24"/>
          <w:szCs w:val="24"/>
        </w:rPr>
      </w:pPr>
      <w:r w:rsidRPr="0011267F">
        <w:rPr>
          <w:rFonts w:hAnsi="Calibri" w:cs="Calibri"/>
          <w:sz w:val="24"/>
          <w:szCs w:val="24"/>
        </w:rPr>
        <w:t>Argentina desde la perspectiva de país receptor, lo será de 55 países, según el siguiente listado -a la fecha de emisión de este documento-:</w:t>
      </w:r>
    </w:p>
    <w:p w:rsidR="00D529C5" w:rsidRPr="0011267F" w:rsidRDefault="00D529C5" w:rsidP="00B35F85">
      <w:pPr>
        <w:spacing w:after="0" w:line="240" w:lineRule="auto"/>
        <w:jc w:val="both"/>
        <w:rPr>
          <w:rFonts w:hAnsi="Calibri" w:cs="Calibri"/>
          <w:sz w:val="24"/>
          <w:szCs w:val="24"/>
        </w:rPr>
      </w:pPr>
    </w:p>
    <w:tbl>
      <w:tblPr>
        <w:tblW w:w="8931" w:type="dxa"/>
        <w:tblCellSpacing w:w="25" w:type="dxa"/>
        <w:tblCellMar>
          <w:top w:w="40" w:type="dxa"/>
          <w:left w:w="40" w:type="dxa"/>
          <w:bottom w:w="40" w:type="dxa"/>
          <w:right w:w="40" w:type="dxa"/>
        </w:tblCellMar>
        <w:tblLook w:val="00A0"/>
      </w:tblPr>
      <w:tblGrid>
        <w:gridCol w:w="2403"/>
        <w:gridCol w:w="1324"/>
        <w:gridCol w:w="5204"/>
      </w:tblGrid>
      <w:tr w:rsidR="00D529C5" w:rsidRPr="007B76CE" w:rsidTr="00182F13">
        <w:trPr>
          <w:tblCellSpacing w:w="25" w:type="dxa"/>
        </w:trPr>
        <w:tc>
          <w:tcPr>
            <w:tcW w:w="2328" w:type="dxa"/>
            <w:shd w:val="clear" w:color="auto" w:fill="104875"/>
            <w:vAlign w:val="center"/>
          </w:tcPr>
          <w:p w:rsidR="00D529C5" w:rsidRPr="007B76CE" w:rsidRDefault="00D529C5" w:rsidP="005F34D5">
            <w:pPr>
              <w:spacing w:after="0" w:line="240" w:lineRule="auto"/>
              <w:jc w:val="center"/>
              <w:rPr>
                <w:rFonts w:hAnsi="Calibri" w:cs="Calibri"/>
                <w:b/>
                <w:bCs/>
                <w:color w:val="FFFFFF"/>
                <w:sz w:val="16"/>
                <w:szCs w:val="16"/>
              </w:rPr>
            </w:pPr>
            <w:r w:rsidRPr="007B76CE">
              <w:rPr>
                <w:rFonts w:hAnsi="Calibri" w:cs="Calibri"/>
                <w:b/>
                <w:bCs/>
                <w:color w:val="FFFFFF"/>
                <w:sz w:val="16"/>
                <w:szCs w:val="16"/>
              </w:rPr>
              <w:t>FROM JURISDICTION</w:t>
            </w:r>
          </w:p>
        </w:tc>
        <w:tc>
          <w:tcPr>
            <w:tcW w:w="1274" w:type="dxa"/>
            <w:shd w:val="clear" w:color="auto" w:fill="104875"/>
            <w:vAlign w:val="center"/>
          </w:tcPr>
          <w:p w:rsidR="00D529C5" w:rsidRPr="007B76CE" w:rsidRDefault="00D529C5" w:rsidP="005F34D5">
            <w:pPr>
              <w:spacing w:after="0" w:line="240" w:lineRule="auto"/>
              <w:jc w:val="center"/>
              <w:rPr>
                <w:rFonts w:hAnsi="Calibri" w:cs="Calibri"/>
                <w:b/>
                <w:bCs/>
                <w:color w:val="FFFFFF"/>
                <w:sz w:val="16"/>
                <w:szCs w:val="16"/>
              </w:rPr>
            </w:pPr>
            <w:r w:rsidRPr="007B76CE">
              <w:rPr>
                <w:rFonts w:hAnsi="Calibri" w:cs="Calibri"/>
                <w:b/>
                <w:bCs/>
                <w:color w:val="FFFFFF"/>
                <w:sz w:val="16"/>
                <w:szCs w:val="16"/>
              </w:rPr>
              <w:t>TO JURISDICTION</w:t>
            </w:r>
          </w:p>
        </w:tc>
        <w:tc>
          <w:tcPr>
            <w:tcW w:w="5129" w:type="dxa"/>
            <w:shd w:val="clear" w:color="auto" w:fill="104875"/>
            <w:vAlign w:val="center"/>
          </w:tcPr>
          <w:p w:rsidR="00D529C5" w:rsidRPr="007B76CE" w:rsidRDefault="00D529C5" w:rsidP="005F34D5">
            <w:pPr>
              <w:spacing w:after="0" w:line="240" w:lineRule="auto"/>
              <w:jc w:val="center"/>
              <w:rPr>
                <w:rFonts w:hAnsi="Calibri" w:cs="Calibri"/>
                <w:b/>
                <w:bCs/>
                <w:color w:val="FFFFFF"/>
                <w:sz w:val="16"/>
                <w:szCs w:val="16"/>
              </w:rPr>
            </w:pPr>
            <w:r w:rsidRPr="007B76CE">
              <w:rPr>
                <w:rFonts w:hAnsi="Calibri" w:cs="Calibri"/>
                <w:b/>
                <w:bCs/>
                <w:color w:val="FFFFFF"/>
                <w:sz w:val="16"/>
                <w:szCs w:val="16"/>
              </w:rPr>
              <w:t>LEGAL INSTRUMENT</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Anguilla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5 May 2017</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Australia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22 December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Austria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22 December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Belgium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Effective for taxable periods starting on or after 01 January 2016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Bermuda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Brazil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Effective for taxable periods starting on or after 01 January 2017 – Activated on 5 May 2017</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British Virgin Islands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Bulgaria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Effective for taxable periods starting on or after 01 January 2017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Canada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5 May 2017</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Cayman Islands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Colombia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22 December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Croatia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22 December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Cyprus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2016 – Activated on 22 December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Czech Republic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Denmark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Estonia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Faroe Islands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Finland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France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Germany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Effective for taxable periods starting on or after 01 January 2016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Gibraltar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Greece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22 December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Greenland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22 December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Guernsey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Hungary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2016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Iceland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India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Ireland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Isle of Man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Italy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Japan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5 May 2017</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Jersey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Korea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Latvia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Liechtenstein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2017 – Activated on 22 December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Lithuania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Luxembourg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Malta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Mauritius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22 December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Mexico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78710F">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Monaco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6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5 May 2017</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Montserrat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22 December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Netherlands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Norway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Portugal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2016 – Activated on 22 December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Romania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 xml:space="preserve">Saint Vincent and the Grenadines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2017 – Activated on 22 December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Seychelles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Effective for taxable periods starting on or after 01 January 2016 – Activated on 20 October 2016</w:t>
            </w:r>
          </w:p>
        </w:tc>
      </w:tr>
      <w:tr w:rsidR="00D529C5" w:rsidRPr="00353AB6" w:rsidTr="00182F13">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Slovenia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182F13">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South Africa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F02E9C">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Spain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F02E9C">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Sweden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F02E9C">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Turks and Caicos Islands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Activated on 20 October 2016</w:t>
            </w:r>
          </w:p>
        </w:tc>
      </w:tr>
      <w:tr w:rsidR="00D529C5" w:rsidRPr="00353AB6" w:rsidTr="00F02E9C">
        <w:trPr>
          <w:tblCellSpacing w:w="25" w:type="dxa"/>
        </w:trPr>
        <w:tc>
          <w:tcPr>
            <w:tcW w:w="2328"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United Kingdom </w:t>
            </w:r>
          </w:p>
        </w:tc>
        <w:tc>
          <w:tcPr>
            <w:tcW w:w="1274" w:type="dxa"/>
            <w:shd w:val="clear" w:color="auto" w:fill="FFFFFF"/>
            <w:vAlign w:val="center"/>
          </w:tcPr>
          <w:p w:rsidR="00D529C5" w:rsidRPr="007B76CE" w:rsidRDefault="00D529C5" w:rsidP="005F34D5">
            <w:pPr>
              <w:spacing w:after="0" w:line="240" w:lineRule="auto"/>
              <w:rPr>
                <w:rFonts w:hAnsi="Calibri" w:cs="Calibri"/>
                <w:color w:val="284775"/>
                <w:sz w:val="16"/>
                <w:szCs w:val="16"/>
              </w:rPr>
            </w:pPr>
            <w:r w:rsidRPr="007B76CE">
              <w:rPr>
                <w:rFonts w:hAnsi="Calibri" w:cs="Calibri"/>
                <w:color w:val="284775"/>
                <w:sz w:val="16"/>
                <w:szCs w:val="16"/>
              </w:rPr>
              <w:t xml:space="preserve">Argentina </w:t>
            </w:r>
          </w:p>
        </w:tc>
        <w:tc>
          <w:tcPr>
            <w:tcW w:w="5129" w:type="dxa"/>
            <w:shd w:val="clear" w:color="auto" w:fill="FFFFFF"/>
            <w:vAlign w:val="center"/>
          </w:tcPr>
          <w:p w:rsidR="00D529C5" w:rsidRPr="007B76CE" w:rsidRDefault="00D529C5" w:rsidP="005F34D5">
            <w:pPr>
              <w:spacing w:after="0" w:line="240" w:lineRule="auto"/>
              <w:rPr>
                <w:rFonts w:hAnsi="Calibri" w:cs="Calibri"/>
                <w:color w:val="284775"/>
                <w:sz w:val="16"/>
                <w:szCs w:val="16"/>
                <w:lang w:val="en-US"/>
              </w:rPr>
            </w:pPr>
            <w:r w:rsidRPr="007B76CE">
              <w:rPr>
                <w:rFonts w:hAnsi="Calibri" w:cs="Calibri"/>
                <w:color w:val="284775"/>
                <w:sz w:val="16"/>
                <w:szCs w:val="16"/>
                <w:lang w:val="en-US"/>
              </w:rPr>
              <w:t>CRS MCAA – Activated on 20 October 2016</w:t>
            </w:r>
          </w:p>
        </w:tc>
      </w:tr>
      <w:tr w:rsidR="00D529C5" w:rsidRPr="00353AB6" w:rsidTr="00F02E9C">
        <w:trPr>
          <w:tblCellSpacing w:w="25" w:type="dxa"/>
        </w:trPr>
        <w:tc>
          <w:tcPr>
            <w:tcW w:w="2328"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Uruguay </w:t>
            </w:r>
          </w:p>
        </w:tc>
        <w:tc>
          <w:tcPr>
            <w:tcW w:w="1274" w:type="dxa"/>
            <w:shd w:val="clear" w:color="auto" w:fill="BAD5F0"/>
            <w:vAlign w:val="center"/>
          </w:tcPr>
          <w:p w:rsidR="00D529C5" w:rsidRPr="007B76CE" w:rsidRDefault="00D529C5" w:rsidP="005F34D5">
            <w:pPr>
              <w:spacing w:after="0" w:line="240" w:lineRule="auto"/>
              <w:rPr>
                <w:rFonts w:hAnsi="Calibri" w:cs="Calibri"/>
                <w:color w:val="333333"/>
                <w:sz w:val="16"/>
                <w:szCs w:val="16"/>
              </w:rPr>
            </w:pPr>
            <w:r w:rsidRPr="007B76CE">
              <w:rPr>
                <w:rFonts w:hAnsi="Calibri" w:cs="Calibri"/>
                <w:color w:val="333333"/>
                <w:sz w:val="16"/>
                <w:szCs w:val="16"/>
              </w:rPr>
              <w:t xml:space="preserve">Argentina </w:t>
            </w:r>
          </w:p>
        </w:tc>
        <w:tc>
          <w:tcPr>
            <w:tcW w:w="5129" w:type="dxa"/>
            <w:shd w:val="clear" w:color="auto" w:fill="BAD5F0"/>
            <w:vAlign w:val="center"/>
          </w:tcPr>
          <w:p w:rsidR="00D529C5" w:rsidRPr="007B76CE" w:rsidRDefault="00D529C5" w:rsidP="005F34D5">
            <w:pPr>
              <w:spacing w:after="0" w:line="240" w:lineRule="auto"/>
              <w:rPr>
                <w:rFonts w:hAnsi="Calibri" w:cs="Calibri"/>
                <w:color w:val="333333"/>
                <w:sz w:val="16"/>
                <w:szCs w:val="16"/>
                <w:lang w:val="en-US"/>
              </w:rPr>
            </w:pPr>
            <w:r w:rsidRPr="007B76CE">
              <w:rPr>
                <w:rFonts w:hAnsi="Calibri" w:cs="Calibri"/>
                <w:color w:val="333333"/>
                <w:sz w:val="16"/>
                <w:szCs w:val="16"/>
                <w:lang w:val="en-US"/>
              </w:rPr>
              <w:t>CRS MCAA – Effective for taxable periods starting on or after 01 January 2017 – Activated on 5 May 2017</w:t>
            </w:r>
          </w:p>
        </w:tc>
      </w:tr>
    </w:tbl>
    <w:p w:rsidR="00D529C5" w:rsidRPr="0011267F" w:rsidRDefault="00D529C5" w:rsidP="00B35F85">
      <w:pPr>
        <w:spacing w:after="0" w:line="240" w:lineRule="auto"/>
        <w:jc w:val="both"/>
        <w:rPr>
          <w:rFonts w:hAnsi="Calibri" w:cs="Calibri"/>
          <w:sz w:val="24"/>
          <w:szCs w:val="24"/>
          <w:lang w:val="en-US"/>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Recordemos que, para establecer un intercambio bilateral en el entorno MCAA, ambas jurisdicciones debían seguir un proceso de tres pasos</w:t>
      </w:r>
      <w:r w:rsidRPr="0011267F">
        <w:rPr>
          <w:rStyle w:val="FootnoteReference"/>
          <w:rFonts w:hAnsi="Calibri" w:cs="Calibri"/>
          <w:sz w:val="24"/>
          <w:szCs w:val="24"/>
        </w:rPr>
        <w:footnoteReference w:id="113"/>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pStyle w:val="ListParagraph"/>
        <w:numPr>
          <w:ilvl w:val="0"/>
          <w:numId w:val="10"/>
        </w:numPr>
        <w:spacing w:after="0" w:line="240" w:lineRule="auto"/>
        <w:ind w:left="0" w:firstLine="0"/>
        <w:jc w:val="both"/>
        <w:rPr>
          <w:rFonts w:hAnsi="Calibri" w:cs="Calibri"/>
          <w:sz w:val="24"/>
          <w:szCs w:val="24"/>
        </w:rPr>
      </w:pPr>
      <w:r w:rsidRPr="0011267F">
        <w:rPr>
          <w:rFonts w:hAnsi="Calibri" w:cs="Calibri"/>
          <w:sz w:val="24"/>
          <w:szCs w:val="24"/>
        </w:rPr>
        <w:t>adherir a la Convención Multilateral</w:t>
      </w:r>
      <w:r>
        <w:rPr>
          <w:rFonts w:hAnsi="Calibri" w:cs="Calibri"/>
          <w:sz w:val="24"/>
          <w:szCs w:val="24"/>
        </w:rPr>
        <w:t>,</w:t>
      </w:r>
    </w:p>
    <w:p w:rsidR="00D529C5" w:rsidRPr="0011267F" w:rsidRDefault="00D529C5" w:rsidP="0011267F">
      <w:pPr>
        <w:pStyle w:val="ListParagraph"/>
        <w:numPr>
          <w:ilvl w:val="0"/>
          <w:numId w:val="10"/>
        </w:numPr>
        <w:spacing w:after="0" w:line="240" w:lineRule="auto"/>
        <w:ind w:left="0" w:firstLine="0"/>
        <w:jc w:val="both"/>
        <w:rPr>
          <w:rFonts w:hAnsi="Calibri" w:cs="Calibri"/>
          <w:sz w:val="24"/>
          <w:szCs w:val="24"/>
        </w:rPr>
      </w:pPr>
      <w:r w:rsidRPr="0011267F">
        <w:rPr>
          <w:rFonts w:hAnsi="Calibri" w:cs="Calibri"/>
          <w:sz w:val="24"/>
          <w:szCs w:val="24"/>
        </w:rPr>
        <w:t xml:space="preserve">firmar el CRS MCCA Acuerdo Multilateral de Autoridades Competentes para el Intercambio de Información sobre Cuentas Financieras, y </w:t>
      </w:r>
    </w:p>
    <w:p w:rsidR="00D529C5" w:rsidRPr="0011267F" w:rsidRDefault="00D529C5" w:rsidP="0011267F">
      <w:pPr>
        <w:pStyle w:val="ListParagraph"/>
        <w:numPr>
          <w:ilvl w:val="0"/>
          <w:numId w:val="10"/>
        </w:numPr>
        <w:spacing w:after="0" w:line="240" w:lineRule="auto"/>
        <w:ind w:left="0" w:firstLine="0"/>
        <w:jc w:val="both"/>
        <w:rPr>
          <w:rFonts w:hAnsi="Calibri" w:cs="Calibri"/>
          <w:sz w:val="24"/>
          <w:szCs w:val="24"/>
        </w:rPr>
      </w:pPr>
      <w:r w:rsidRPr="0011267F">
        <w:rPr>
          <w:rFonts w:hAnsi="Calibri" w:cs="Calibri"/>
          <w:sz w:val="24"/>
          <w:szCs w:val="24"/>
        </w:rPr>
        <w:t>completar las notificaciones previstas en el Artículo 7 del CRS MCAA.</w:t>
      </w:r>
    </w:p>
    <w:p w:rsidR="00D529C5" w:rsidRPr="0011267F" w:rsidRDefault="00D529C5" w:rsidP="0011267F">
      <w:pPr>
        <w:pStyle w:val="ListParagraph"/>
        <w:spacing w:after="0" w:line="240" w:lineRule="auto"/>
        <w:ind w:left="0"/>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Las notificaciones a ser perfeccionadas por cada jurisdicción se referirán a</w:t>
      </w:r>
      <w:r>
        <w:rPr>
          <w:rFonts w:hAnsi="Calibri" w:cs="Calibri"/>
          <w:sz w:val="24"/>
          <w:szCs w:val="24"/>
        </w:rPr>
        <w:t>,</w:t>
      </w:r>
      <w:r w:rsidRPr="0011267F">
        <w:rPr>
          <w:rFonts w:hAnsi="Calibri" w:cs="Calibri"/>
          <w:sz w:val="24"/>
          <w:szCs w:val="24"/>
        </w:rPr>
        <w:t xml:space="preserve"> si </w:t>
      </w:r>
      <w:r>
        <w:rPr>
          <w:rFonts w:hAnsi="Calibri" w:cs="Calibri"/>
          <w:sz w:val="24"/>
          <w:szCs w:val="24"/>
        </w:rPr>
        <w:t xml:space="preserve">se </w:t>
      </w:r>
      <w:r w:rsidRPr="0011267F">
        <w:rPr>
          <w:rFonts w:hAnsi="Calibri" w:cs="Calibri"/>
          <w:sz w:val="24"/>
          <w:szCs w:val="24"/>
        </w:rPr>
        <w:t>tiene en vigencia las leyes necesarias para implementar el CRS</w:t>
      </w:r>
      <w:r>
        <w:rPr>
          <w:rFonts w:hAnsi="Calibri" w:cs="Calibri"/>
          <w:sz w:val="24"/>
          <w:szCs w:val="24"/>
        </w:rPr>
        <w:t xml:space="preserve"> y</w:t>
      </w:r>
      <w:r w:rsidRPr="0011267F">
        <w:rPr>
          <w:rFonts w:hAnsi="Calibri" w:cs="Calibri"/>
          <w:sz w:val="24"/>
          <w:szCs w:val="24"/>
        </w:rPr>
        <w:t xml:space="preserve"> </w:t>
      </w:r>
      <w:r>
        <w:rPr>
          <w:rFonts w:hAnsi="Calibri" w:cs="Calibri"/>
          <w:sz w:val="24"/>
          <w:szCs w:val="24"/>
        </w:rPr>
        <w:t xml:space="preserve">si </w:t>
      </w:r>
      <w:r w:rsidRPr="0011267F">
        <w:rPr>
          <w:rFonts w:hAnsi="Calibri" w:cs="Calibri"/>
          <w:sz w:val="24"/>
          <w:szCs w:val="24"/>
        </w:rPr>
        <w:t xml:space="preserve">el intercambio </w:t>
      </w:r>
      <w:r>
        <w:rPr>
          <w:rFonts w:hAnsi="Calibri" w:cs="Calibri"/>
          <w:sz w:val="24"/>
          <w:szCs w:val="24"/>
        </w:rPr>
        <w:t>se</w:t>
      </w:r>
      <w:r w:rsidRPr="0011267F">
        <w:rPr>
          <w:rFonts w:hAnsi="Calibri" w:cs="Calibri"/>
          <w:sz w:val="24"/>
          <w:szCs w:val="24"/>
        </w:rPr>
        <w:t xml:space="preserve"> realizará a reciprocidad o no. Cada jurisdicción además</w:t>
      </w:r>
      <w:r>
        <w:rPr>
          <w:rFonts w:hAnsi="Calibri" w:cs="Calibri"/>
          <w:sz w:val="24"/>
          <w:szCs w:val="24"/>
        </w:rPr>
        <w:t>,</w:t>
      </w:r>
      <w:r w:rsidRPr="0011267F">
        <w:rPr>
          <w:rFonts w:hAnsi="Calibri" w:cs="Calibri"/>
          <w:sz w:val="24"/>
          <w:szCs w:val="24"/>
        </w:rPr>
        <w:t xml:space="preserve"> deberá aportar una especificación de los métodos para la transmisión y encriptación de datos; una especificación de los procedimientos para la protección de datos; una confirmación de que tiene en vigor medidas adecuadas para asegurar el cumplimiento de los estándares necesarios de confidencialidad y protección de datos, y; una lista de </w:t>
      </w:r>
      <w:r>
        <w:rPr>
          <w:rFonts w:hAnsi="Calibri" w:cs="Calibri"/>
          <w:sz w:val="24"/>
          <w:szCs w:val="24"/>
        </w:rPr>
        <w:t>j</w:t>
      </w:r>
      <w:r w:rsidRPr="0011267F">
        <w:rPr>
          <w:rFonts w:hAnsi="Calibri" w:cs="Calibri"/>
          <w:sz w:val="24"/>
          <w:szCs w:val="24"/>
        </w:rPr>
        <w:t>urisdicciones con las cuales desea intercambiar información en el entorno CRS MCAA.</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El Acuerdo bilateral entrará en vigencia sólo, si en ambas jurisdicciones se encuentra en vigor, s</w:t>
      </w:r>
      <w:r>
        <w:rPr>
          <w:rFonts w:hAnsi="Calibri" w:cs="Calibri"/>
          <w:sz w:val="24"/>
          <w:szCs w:val="24"/>
        </w:rPr>
        <w:t>i</w:t>
      </w:r>
      <w:r w:rsidRPr="0011267F">
        <w:rPr>
          <w:rFonts w:hAnsi="Calibri" w:cs="Calibri"/>
          <w:sz w:val="24"/>
          <w:szCs w:val="24"/>
        </w:rPr>
        <w:t xml:space="preserve"> ambas jurisdicciones han completado las notificaciones aludidas ut supra y se han listado mutuamente. </w:t>
      </w:r>
    </w:p>
    <w:p w:rsidR="00D529C5"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Pr>
          <w:rFonts w:hAnsi="Calibri" w:cs="Calibri"/>
          <w:sz w:val="24"/>
          <w:szCs w:val="24"/>
        </w:rPr>
        <w:t xml:space="preserve">Argentina procederá al intercambio en entorno CRS en septiembre próximo. </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Además, </w:t>
      </w:r>
      <w:r>
        <w:rPr>
          <w:rFonts w:hAnsi="Calibri" w:cs="Calibri"/>
          <w:sz w:val="24"/>
          <w:szCs w:val="24"/>
        </w:rPr>
        <w:t xml:space="preserve">por otra parte, </w:t>
      </w:r>
      <w:r w:rsidRPr="0011267F">
        <w:rPr>
          <w:rFonts w:hAnsi="Calibri" w:cs="Calibri"/>
          <w:sz w:val="24"/>
          <w:szCs w:val="24"/>
        </w:rPr>
        <w:t>debe tenerse presente que se están siguiendo los pasos pertinentes para que entre en vigor el acuerdo de intercambio de información</w:t>
      </w:r>
      <w:r w:rsidRPr="0011267F">
        <w:rPr>
          <w:rStyle w:val="FootnoteReference"/>
          <w:rFonts w:hAnsi="Calibri" w:cs="Calibri"/>
          <w:sz w:val="24"/>
          <w:szCs w:val="24"/>
        </w:rPr>
        <w:footnoteReference w:id="114"/>
      </w:r>
      <w:r w:rsidRPr="0011267F">
        <w:rPr>
          <w:rFonts w:hAnsi="Calibri" w:cs="Calibri"/>
          <w:sz w:val="24"/>
          <w:szCs w:val="24"/>
        </w:rPr>
        <w:t xml:space="preserve"> </w:t>
      </w:r>
      <w:r>
        <w:rPr>
          <w:rFonts w:hAnsi="Calibri" w:cs="Calibri"/>
          <w:sz w:val="24"/>
          <w:szCs w:val="24"/>
        </w:rPr>
        <w:t xml:space="preserve">con los Estados Unidos, </w:t>
      </w:r>
      <w:r w:rsidRPr="0011267F">
        <w:rPr>
          <w:rFonts w:hAnsi="Calibri" w:cs="Calibri"/>
          <w:sz w:val="24"/>
          <w:szCs w:val="24"/>
        </w:rPr>
        <w:t xml:space="preserve">que </w:t>
      </w:r>
      <w:r w:rsidRPr="0011267F">
        <w:rPr>
          <w:rFonts w:hAnsi="Calibri" w:cs="Calibri"/>
          <w:color w:val="333333"/>
          <w:sz w:val="24"/>
          <w:szCs w:val="24"/>
          <w:shd w:val="clear" w:color="auto" w:fill="FFFFFF"/>
        </w:rPr>
        <w:t xml:space="preserve">permitirá el intercambio automático de información </w:t>
      </w:r>
      <w:r>
        <w:rPr>
          <w:rFonts w:hAnsi="Calibri" w:cs="Calibri"/>
          <w:color w:val="333333"/>
          <w:sz w:val="24"/>
          <w:szCs w:val="24"/>
          <w:shd w:val="clear" w:color="auto" w:fill="FFFFFF"/>
        </w:rPr>
        <w:t>sobre</w:t>
      </w:r>
      <w:r w:rsidRPr="0011267F">
        <w:rPr>
          <w:rFonts w:hAnsi="Calibri" w:cs="Calibri"/>
          <w:color w:val="333333"/>
          <w:sz w:val="24"/>
          <w:szCs w:val="24"/>
          <w:shd w:val="clear" w:color="auto" w:fill="FFFFFF"/>
        </w:rPr>
        <w:t xml:space="preserve"> bienes y cuentas bancarias</w:t>
      </w:r>
      <w:r w:rsidRPr="0011267F">
        <w:rPr>
          <w:rStyle w:val="FootnoteReference"/>
          <w:rFonts w:hAnsi="Calibri" w:cs="Calibri"/>
          <w:color w:val="333333"/>
          <w:sz w:val="24"/>
          <w:szCs w:val="24"/>
          <w:shd w:val="clear" w:color="auto" w:fill="FFFFFF"/>
        </w:rPr>
        <w:footnoteReference w:id="115"/>
      </w:r>
      <w:r w:rsidRPr="0011267F">
        <w:rPr>
          <w:rFonts w:hAnsi="Calibri" w:cs="Calibri"/>
          <w:color w:val="333333"/>
          <w:sz w:val="24"/>
          <w:szCs w:val="24"/>
          <w:shd w:val="clear" w:color="auto" w:fill="FFFFFF"/>
        </w:rPr>
        <w:t>.</w:t>
      </w:r>
    </w:p>
    <w:p w:rsidR="00D529C5" w:rsidRPr="0011267F" w:rsidRDefault="00D529C5" w:rsidP="0011267F">
      <w:pPr>
        <w:spacing w:after="0" w:line="240" w:lineRule="auto"/>
        <w:jc w:val="both"/>
        <w:rPr>
          <w:rFonts w:hAnsi="Calibri" w:cs="Calibri"/>
          <w:b/>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Los Estados Unidos fueron revisados en el 2011 </w:t>
      </w:r>
      <w:r>
        <w:rPr>
          <w:rFonts w:hAnsi="Calibri" w:cs="Calibri"/>
          <w:sz w:val="24"/>
          <w:szCs w:val="24"/>
        </w:rPr>
        <w:t xml:space="preserve">por el Foro Global sobre Transparencia e Intercambio de Información, </w:t>
      </w:r>
      <w:r w:rsidRPr="0011267F">
        <w:rPr>
          <w:rFonts w:hAnsi="Calibri" w:cs="Calibri"/>
          <w:sz w:val="24"/>
          <w:szCs w:val="24"/>
        </w:rPr>
        <w:t>con relación al estándar de intercambio de información a requerimiento; si bien le fueron hechas algunas recomendaciones a fin de atender las brechas en cuanto a información sobre titularidad e información contable respecto de ciertas categorías de entidades legales, recibió la calificación global de “Sustancialmente Cumplidor”. En el corto plazo comenzará un nuevo round de revisiones del Foro Global que se sustentará en los nuevos términos de referencia, los cuales incluyen la disponibilidad de información sobre el beneficiario efectivo. Uno de los cambios importantes que recientemente ha implementado los Estados Unidos es el establecimiento de nuevas regulaciones para fortalecer la transparencia respecto de la titularidad extranjera de las LLC de un solo miembro. Estos cambios serán evaluados en la revisión a ser lanzada en el corto plazo por el Foro Global.</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Con respecto al intercambio de información automático, los Estados Unidos no se han comprometido con el CRS. La OECD/G20 modeló el CRS sobre la legislación norteamericana de FATCA. Si bien</w:t>
      </w:r>
      <w:r>
        <w:rPr>
          <w:rFonts w:hAnsi="Calibri" w:cs="Calibri"/>
          <w:sz w:val="24"/>
          <w:szCs w:val="24"/>
        </w:rPr>
        <w:t>, ese país</w:t>
      </w:r>
      <w:r w:rsidRPr="0011267F">
        <w:rPr>
          <w:rFonts w:hAnsi="Calibri" w:cs="Calibri"/>
          <w:sz w:val="24"/>
          <w:szCs w:val="24"/>
        </w:rPr>
        <w:t xml:space="preserve"> fue invitado a adoptar el CRS, aún no ha adherido a este estándar; sin embargo, se resalta</w:t>
      </w:r>
      <w:r>
        <w:rPr>
          <w:rFonts w:hAnsi="Calibri" w:cs="Calibri"/>
          <w:sz w:val="24"/>
          <w:szCs w:val="24"/>
        </w:rPr>
        <w:t xml:space="preserve"> </w:t>
      </w:r>
      <w:r w:rsidRPr="0011267F">
        <w:rPr>
          <w:rFonts w:hAnsi="Calibri" w:cs="Calibri"/>
          <w:sz w:val="24"/>
          <w:szCs w:val="24"/>
        </w:rPr>
        <w:t>que, los Estados Unidos están intercambiando información automáticamente bajo sus acuerdos bilaterales en el entorno FATCA y que, cada uno de esos acuerdos incluye un compromiso a una reciprocidad completa. Se señaló también que, la información que se intercambia es similar a la intercambiada bajo el entorno CRS</w:t>
      </w:r>
      <w:r w:rsidRPr="0011267F">
        <w:rPr>
          <w:rStyle w:val="FootnoteReference"/>
          <w:rFonts w:hAnsi="Calibri" w:cs="Calibri"/>
          <w:sz w:val="24"/>
          <w:szCs w:val="24"/>
        </w:rPr>
        <w:footnoteReference w:id="116"/>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A41866">
      <w:pPr>
        <w:spacing w:after="0" w:line="240" w:lineRule="auto"/>
        <w:jc w:val="both"/>
        <w:rPr>
          <w:rFonts w:hAnsi="Calibri" w:cs="Calibri"/>
          <w:sz w:val="24"/>
          <w:szCs w:val="24"/>
        </w:rPr>
      </w:pPr>
      <w:r w:rsidRPr="0011267F">
        <w:rPr>
          <w:rFonts w:hAnsi="Calibri" w:cs="Calibri"/>
          <w:sz w:val="24"/>
          <w:szCs w:val="24"/>
        </w:rPr>
        <w:t>El Departamento del Tesoro de los Estados Unidos recientemente ha modificado determinados Formularios que deben ser presentados a los agentes de retención cuando éstos paguen intereses, dividendos, alquileres, regalías, etc. a no residentes. El objetivo es conocer al beneficiario efectivo de dichas rentas</w:t>
      </w:r>
      <w:r w:rsidRPr="0011267F">
        <w:rPr>
          <w:rStyle w:val="FootnoteReference"/>
          <w:rFonts w:hAnsi="Calibri" w:cs="Calibri"/>
          <w:sz w:val="24"/>
          <w:szCs w:val="24"/>
        </w:rPr>
        <w:footnoteReference w:id="117"/>
      </w:r>
      <w:r w:rsidRPr="0011267F">
        <w:rPr>
          <w:rFonts w:hAnsi="Calibri" w:cs="Calibri"/>
          <w:sz w:val="24"/>
          <w:szCs w:val="24"/>
        </w:rPr>
        <w:t>.</w:t>
      </w:r>
    </w:p>
    <w:p w:rsidR="00D529C5" w:rsidRDefault="00D529C5" w:rsidP="00B609F0">
      <w:pPr>
        <w:pStyle w:val="Heading1"/>
        <w:numPr>
          <w:ilvl w:val="0"/>
          <w:numId w:val="39"/>
        </w:numPr>
        <w:rPr>
          <w:rFonts w:cs="Calibri"/>
          <w:sz w:val="24"/>
          <w:szCs w:val="24"/>
        </w:rPr>
      </w:pPr>
      <w:bookmarkStart w:id="64" w:name="_Toc491335398"/>
      <w:bookmarkStart w:id="65" w:name="_Toc492313343"/>
      <w:r w:rsidRPr="003223B8">
        <w:rPr>
          <w:rFonts w:cs="Calibri"/>
          <w:sz w:val="24"/>
          <w:szCs w:val="24"/>
        </w:rPr>
        <w:t>Paraísos fiscales</w:t>
      </w:r>
      <w:bookmarkEnd w:id="64"/>
      <w:r>
        <w:rPr>
          <w:rFonts w:cs="Calibri"/>
          <w:sz w:val="24"/>
          <w:szCs w:val="24"/>
        </w:rPr>
        <w:t>, Jurisdicciones no cooperantes, jurisdicciones de baja o nula tributación, jurisdicciones opacas</w:t>
      </w:r>
      <w:bookmarkEnd w:id="65"/>
    </w:p>
    <w:p w:rsidR="00D529C5" w:rsidRDefault="00D529C5" w:rsidP="00B609F0">
      <w:pPr>
        <w:pStyle w:val="Heading2"/>
        <w:numPr>
          <w:ilvl w:val="1"/>
          <w:numId w:val="39"/>
        </w:numPr>
      </w:pPr>
      <w:bookmarkStart w:id="66" w:name="_Toc492313344"/>
      <w:r>
        <w:t>Legislación comparada</w:t>
      </w:r>
      <w:bookmarkEnd w:id="66"/>
    </w:p>
    <w:p w:rsidR="00D529C5" w:rsidRPr="0011267F" w:rsidRDefault="00D529C5" w:rsidP="0011267F">
      <w:pPr>
        <w:spacing w:after="0" w:line="240" w:lineRule="auto"/>
        <w:jc w:val="both"/>
        <w:rPr>
          <w:rFonts w:hAnsi="Calibri" w:cs="Calibri"/>
          <w:sz w:val="24"/>
          <w:szCs w:val="24"/>
        </w:rPr>
      </w:pPr>
    </w:p>
    <w:p w:rsidR="00D529C5" w:rsidRPr="000A345F" w:rsidRDefault="00D529C5" w:rsidP="000A345F">
      <w:pPr>
        <w:spacing w:after="0" w:line="240" w:lineRule="auto"/>
        <w:jc w:val="both"/>
        <w:rPr>
          <w:rFonts w:hAnsi="Calibri" w:cs="Calibri"/>
          <w:sz w:val="24"/>
          <w:szCs w:val="24"/>
        </w:rPr>
      </w:pPr>
      <w:r w:rsidRPr="0011267F">
        <w:rPr>
          <w:rFonts w:hAnsi="Calibri" w:cs="Calibri"/>
          <w:sz w:val="24"/>
          <w:szCs w:val="24"/>
        </w:rPr>
        <w:t xml:space="preserve">Respecto de este tema hemos relevado la legislación respectiva vigente en tres jurisdicciones latinoamericanas, todo ello con el fin de establecer si corresponde actualizar o dar un nuevo enfoque a la definición de </w:t>
      </w:r>
      <w:r>
        <w:rPr>
          <w:rFonts w:hAnsi="Calibri" w:cs="Calibri"/>
          <w:sz w:val="24"/>
          <w:szCs w:val="24"/>
        </w:rPr>
        <w:t>“</w:t>
      </w:r>
      <w:r w:rsidRPr="0011267F">
        <w:rPr>
          <w:rFonts w:hAnsi="Calibri" w:cs="Calibri"/>
          <w:sz w:val="24"/>
          <w:szCs w:val="24"/>
        </w:rPr>
        <w:t>jurisdicción cooperante</w:t>
      </w:r>
      <w:r>
        <w:rPr>
          <w:rFonts w:hAnsi="Calibri" w:cs="Calibri"/>
          <w:sz w:val="24"/>
          <w:szCs w:val="24"/>
        </w:rPr>
        <w:t>”</w:t>
      </w:r>
      <w:r w:rsidRPr="0011267F">
        <w:rPr>
          <w:rFonts w:hAnsi="Calibri" w:cs="Calibri"/>
          <w:sz w:val="24"/>
          <w:szCs w:val="24"/>
        </w:rPr>
        <w:t xml:space="preserve"> que hoy rige en nuestro país. </w:t>
      </w:r>
    </w:p>
    <w:p w:rsidR="00D529C5" w:rsidRPr="000A345F" w:rsidRDefault="00D529C5" w:rsidP="00B609F0">
      <w:pPr>
        <w:pStyle w:val="Heading3"/>
        <w:numPr>
          <w:ilvl w:val="2"/>
          <w:numId w:val="39"/>
        </w:numPr>
        <w:rPr>
          <w:rFonts w:ascii="Calibri" w:hAnsi="Calibri" w:cs="Calibri"/>
          <w:color w:val="000000"/>
          <w:sz w:val="24"/>
          <w:szCs w:val="24"/>
        </w:rPr>
      </w:pPr>
      <w:bookmarkStart w:id="67" w:name="_Toc491335399"/>
      <w:bookmarkStart w:id="68" w:name="_Toc492313345"/>
      <w:r w:rsidRPr="000A345F">
        <w:rPr>
          <w:rFonts w:ascii="Calibri" w:hAnsi="Calibri" w:cs="Calibri"/>
          <w:color w:val="000000"/>
          <w:sz w:val="24"/>
          <w:szCs w:val="24"/>
        </w:rPr>
        <w:t>Chile</w:t>
      </w:r>
      <w:bookmarkEnd w:id="67"/>
      <w:bookmarkEnd w:id="68"/>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color w:val="000000"/>
          <w:sz w:val="24"/>
          <w:szCs w:val="24"/>
        </w:rPr>
      </w:pPr>
      <w:r w:rsidRPr="0011267F">
        <w:rPr>
          <w:rFonts w:hAnsi="Calibri" w:cs="Calibri"/>
          <w:color w:val="000000"/>
          <w:sz w:val="24"/>
          <w:szCs w:val="24"/>
        </w:rPr>
        <w:t>Según la normativa chilena vigente</w:t>
      </w:r>
      <w:r w:rsidRPr="0011267F">
        <w:rPr>
          <w:rStyle w:val="FootnoteReference"/>
          <w:rFonts w:hAnsi="Calibri" w:cs="Calibri"/>
          <w:color w:val="000000"/>
          <w:sz w:val="24"/>
          <w:szCs w:val="24"/>
        </w:rPr>
        <w:footnoteReference w:id="118"/>
      </w:r>
      <w:r w:rsidRPr="0011267F">
        <w:rPr>
          <w:rFonts w:hAnsi="Calibri" w:cs="Calibri"/>
          <w:color w:val="000000"/>
          <w:sz w:val="24"/>
          <w:szCs w:val="24"/>
        </w:rPr>
        <w:t>, se considera que un territorio o jurisdicción tiene un régimen fiscal preferencia</w:t>
      </w:r>
      <w:r>
        <w:rPr>
          <w:rFonts w:hAnsi="Calibri" w:cs="Calibri"/>
          <w:color w:val="000000"/>
          <w:sz w:val="24"/>
          <w:szCs w:val="24"/>
        </w:rPr>
        <w:t>l</w:t>
      </w:r>
      <w:r w:rsidRPr="0011267F">
        <w:rPr>
          <w:rFonts w:hAnsi="Calibri" w:cs="Calibri"/>
          <w:color w:val="000000"/>
          <w:sz w:val="24"/>
          <w:szCs w:val="24"/>
        </w:rPr>
        <w:t xml:space="preserve"> si se cumplen al menos dos de los requisitos que se citan a continuación: </w:t>
      </w:r>
    </w:p>
    <w:p w:rsidR="00D529C5" w:rsidRPr="0011267F" w:rsidRDefault="00D529C5" w:rsidP="0011267F">
      <w:pPr>
        <w:spacing w:after="0" w:line="240" w:lineRule="auto"/>
        <w:jc w:val="both"/>
        <w:rPr>
          <w:rFonts w:hAnsi="Calibri" w:cs="Calibri"/>
          <w:color w:val="000000"/>
          <w:sz w:val="24"/>
          <w:szCs w:val="24"/>
        </w:rPr>
      </w:pP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 xml:space="preserve">[a]) Su tasa de tributación efectiva sobre los ingresos de fuente extranjera sea inferior al 50% de la tasa del inciso primero del artículo 58. Para la </w:t>
      </w:r>
      <w:r>
        <w:rPr>
          <w:rFonts w:hAnsi="Calibri" w:cs="Calibri"/>
          <w:i/>
          <w:color w:val="000000"/>
          <w:sz w:val="24"/>
          <w:szCs w:val="24"/>
        </w:rPr>
        <w:t>d</w:t>
      </w:r>
      <w:r w:rsidRPr="0011267F">
        <w:rPr>
          <w:rFonts w:hAnsi="Calibri" w:cs="Calibri"/>
          <w:i/>
          <w:color w:val="000000"/>
          <w:sz w:val="24"/>
          <w:szCs w:val="24"/>
        </w:rPr>
        <w:t>eterminación de la tasa efectiva se considerarán las exenciones o rebajas otorgadas sobre el ingreso respectivo, los costos o gastos efectivos o presuntos que rebajen tales ingresos y los créditos o rebajas al impuesto extranjero determinado, todos ellos otorgados o concedidos por el respectivo territorio o jurisdicción. La tributación efectiva será la que resulte de dividir el Impuesto extranjero neto determinado por la utilidad neta ajustada de acuerdo a lo dispuesto anteriormente. En caso que en el país respectivo se aplique una escala progresiva de tasas, la tasa efectiva será la equivalente a la “tasa media”, que resulte de dividir por dos la diferencia entre la tasa máxima y mínima de la escala de tasas correspondiente, expresadas en porcentaje.</w:t>
      </w:r>
    </w:p>
    <w:p w:rsidR="00D529C5" w:rsidRPr="0011267F" w:rsidRDefault="00D529C5" w:rsidP="0011267F">
      <w:pPr>
        <w:spacing w:after="0" w:line="240" w:lineRule="auto"/>
        <w:jc w:val="both"/>
        <w:rPr>
          <w:rFonts w:hAnsi="Calibri" w:cs="Calibri"/>
          <w:i/>
          <w:color w:val="000000"/>
          <w:sz w:val="24"/>
          <w:szCs w:val="24"/>
        </w:rPr>
      </w:pP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b) No hayan celebrado con Chile un convenio que permita el intercambio de información para fines tributarios o el celebrado no se encuentre vigente.</w:t>
      </w:r>
    </w:p>
    <w:p w:rsidR="00D529C5" w:rsidRPr="0011267F" w:rsidRDefault="00D529C5" w:rsidP="0011267F">
      <w:pPr>
        <w:spacing w:after="0" w:line="240" w:lineRule="auto"/>
        <w:jc w:val="both"/>
        <w:rPr>
          <w:rFonts w:hAnsi="Calibri" w:cs="Calibri"/>
          <w:i/>
          <w:color w:val="000000"/>
          <w:sz w:val="24"/>
          <w:szCs w:val="24"/>
        </w:rPr>
      </w:pP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c) Los territorios o jurisdicciones cuya legislación carezca de reglas que faculten a la administración tributaria respectiva para fiscalizar los precios de transferencia, que de manera sustancial se ajusten a las recomendaciones de la Organización para la Cooperación y el Desarrollo Económico, o de la Organización de Naciones Unidas.</w:t>
      </w:r>
    </w:p>
    <w:p w:rsidR="00D529C5" w:rsidRPr="0011267F" w:rsidRDefault="00D529C5" w:rsidP="0011267F">
      <w:pPr>
        <w:spacing w:after="0" w:line="240" w:lineRule="auto"/>
        <w:jc w:val="both"/>
        <w:rPr>
          <w:rFonts w:hAnsi="Calibri" w:cs="Calibri"/>
          <w:i/>
          <w:color w:val="000000"/>
          <w:sz w:val="24"/>
          <w:szCs w:val="24"/>
        </w:rPr>
      </w:pP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d) Aquellos que no reúnan las condiciones para ser considerados cumplidores o sustancialmente cumplidores de los estándares internacionalmente aceptados en materia de transparencia e intercambio de información con fines fiscales por la Organización para la Cooperación y el Desarrollo Económicos.</w:t>
      </w:r>
    </w:p>
    <w:p w:rsidR="00D529C5" w:rsidRPr="0011267F" w:rsidRDefault="00D529C5" w:rsidP="0011267F">
      <w:pPr>
        <w:spacing w:after="0" w:line="240" w:lineRule="auto"/>
        <w:jc w:val="both"/>
        <w:rPr>
          <w:rFonts w:hAnsi="Calibri" w:cs="Calibri"/>
          <w:i/>
          <w:color w:val="000000"/>
          <w:sz w:val="24"/>
          <w:szCs w:val="24"/>
        </w:rPr>
      </w:pP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 xml:space="preserve">e) Aquellos cuyas legislaciones mantengan vigentes uno o más regímenes preferenciales para fines fiscales, que no cumplan con los estándares internacionales en la materia de acuerdo a calificación efectuada por la Organización de Cooperación y Desarrollo Económicos. </w:t>
      </w:r>
    </w:p>
    <w:p w:rsidR="00D529C5" w:rsidRPr="0011267F" w:rsidRDefault="00D529C5" w:rsidP="0011267F">
      <w:pPr>
        <w:spacing w:after="0" w:line="240" w:lineRule="auto"/>
        <w:jc w:val="both"/>
        <w:rPr>
          <w:rFonts w:hAnsi="Calibri" w:cs="Calibri"/>
          <w:i/>
          <w:color w:val="000000"/>
          <w:sz w:val="24"/>
          <w:szCs w:val="24"/>
        </w:rPr>
      </w:pP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f) Aquellos que gravan exclusivamente las rentas generadas, producidas o cuya fuente se encuentre en sus propios territorios].</w:t>
      </w:r>
    </w:p>
    <w:p w:rsidR="00D529C5" w:rsidRPr="0011267F" w:rsidRDefault="00D529C5" w:rsidP="0011267F">
      <w:pPr>
        <w:spacing w:after="0" w:line="240" w:lineRule="auto"/>
        <w:jc w:val="both"/>
        <w:rPr>
          <w:rFonts w:hAnsi="Calibri" w:cs="Calibri"/>
          <w:color w:val="000000"/>
          <w:sz w:val="24"/>
          <w:szCs w:val="24"/>
        </w:rPr>
      </w:pPr>
    </w:p>
    <w:p w:rsidR="00D529C5" w:rsidRPr="0011267F" w:rsidRDefault="00D529C5" w:rsidP="0011267F">
      <w:pPr>
        <w:spacing w:after="0" w:line="240" w:lineRule="auto"/>
        <w:jc w:val="both"/>
        <w:rPr>
          <w:rFonts w:hAnsi="Calibri" w:cs="Calibri"/>
          <w:color w:val="000000"/>
          <w:sz w:val="24"/>
          <w:szCs w:val="24"/>
        </w:rPr>
      </w:pPr>
      <w:r w:rsidRPr="0011267F">
        <w:rPr>
          <w:rFonts w:hAnsi="Calibri" w:cs="Calibri"/>
          <w:color w:val="000000"/>
          <w:sz w:val="24"/>
          <w:szCs w:val="24"/>
        </w:rPr>
        <w:t>Existe una expresa exclusión respecto de las disposiciones descriptas precedentemente si el país o jurisdicción es un país miembro de la Organización para la Cooperación y el Desarrollo Económico</w:t>
      </w:r>
      <w:r w:rsidRPr="0011267F">
        <w:rPr>
          <w:rStyle w:val="FootnoteReference"/>
          <w:rFonts w:hAnsi="Calibri" w:cs="Calibri"/>
          <w:color w:val="000000"/>
          <w:sz w:val="24"/>
          <w:szCs w:val="24"/>
        </w:rPr>
        <w:footnoteReference w:id="119"/>
      </w:r>
      <w:r w:rsidRPr="0011267F">
        <w:rPr>
          <w:rFonts w:hAnsi="Calibri" w:cs="Calibri"/>
          <w:color w:val="000000"/>
          <w:sz w:val="24"/>
          <w:szCs w:val="24"/>
        </w:rPr>
        <w:t>.</w:t>
      </w:r>
    </w:p>
    <w:p w:rsidR="00D529C5" w:rsidRPr="0011267F" w:rsidRDefault="00D529C5" w:rsidP="0011267F">
      <w:pPr>
        <w:spacing w:after="0" w:line="240" w:lineRule="auto"/>
        <w:jc w:val="both"/>
        <w:rPr>
          <w:rFonts w:hAnsi="Calibri" w:cs="Calibri"/>
          <w:color w:val="000000"/>
          <w:sz w:val="24"/>
          <w:szCs w:val="24"/>
        </w:rPr>
      </w:pPr>
    </w:p>
    <w:p w:rsidR="00D529C5" w:rsidRPr="0011267F" w:rsidRDefault="00D529C5" w:rsidP="0011267F">
      <w:pPr>
        <w:spacing w:after="0" w:line="240" w:lineRule="auto"/>
        <w:jc w:val="both"/>
        <w:rPr>
          <w:rFonts w:hAnsi="Calibri" w:cs="Calibri"/>
          <w:color w:val="000000"/>
          <w:sz w:val="24"/>
          <w:szCs w:val="24"/>
        </w:rPr>
      </w:pPr>
      <w:r w:rsidRPr="0011267F">
        <w:rPr>
          <w:rFonts w:hAnsi="Calibri" w:cs="Calibri"/>
          <w:color w:val="000000"/>
          <w:sz w:val="24"/>
          <w:szCs w:val="24"/>
        </w:rPr>
        <w:t>Los contribuyentes podrán solicitar a la Administración Fiscal que se expida sobre si un país o territorio cumple los requisitos mencionados</w:t>
      </w:r>
      <w:r w:rsidRPr="0011267F">
        <w:rPr>
          <w:rStyle w:val="FootnoteReference"/>
          <w:rFonts w:hAnsi="Calibri" w:cs="Calibri"/>
          <w:color w:val="000000"/>
          <w:sz w:val="24"/>
          <w:szCs w:val="24"/>
        </w:rPr>
        <w:footnoteReference w:id="120"/>
      </w:r>
      <w:r w:rsidRPr="0011267F">
        <w:rPr>
          <w:rFonts w:hAnsi="Calibri" w:cs="Calibri"/>
          <w:color w:val="000000"/>
          <w:sz w:val="24"/>
          <w:szCs w:val="24"/>
        </w:rPr>
        <w:t>.</w:t>
      </w:r>
      <w:r w:rsidRPr="0011267F">
        <w:rPr>
          <w:rFonts w:hAnsi="Calibri" w:cs="Calibri"/>
          <w:i/>
          <w:color w:val="000000"/>
          <w:sz w:val="24"/>
          <w:szCs w:val="24"/>
        </w:rPr>
        <w:t xml:space="preserve"> </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En relación con el mencionado inciso d) transcripto, el Servicio de Impuestos Internos hizo un racconto de los antecedentes que llevaron a su inclusión en la norma</w:t>
      </w:r>
      <w:r w:rsidRPr="0011267F">
        <w:rPr>
          <w:rStyle w:val="FootnoteReference"/>
          <w:rFonts w:hAnsi="Calibri" w:cs="Calibri"/>
          <w:sz w:val="24"/>
          <w:szCs w:val="24"/>
        </w:rPr>
        <w:footnoteReference w:id="121"/>
      </w:r>
      <w:r>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[A]l respecto, cabe señalar que la OECD creó el año 2009, mediante una resolución de su Consejo (revisada y renovada en el 2012 y en enero de 2016), el Foro Global sobre Transparencia e Intercambio de Información con Fines Fiscales (“GFTEOI”, según sus siglas en inglés), con la finalidad de implementar, los estándares internacionalmente aceptados en materia de transparencia e intercambio de información para fines tributarios y monitorear su cumplimiento entre el gran número de países y jurisdicciones invitados a participar. Cabe hacer presente que dichos estándares se encuentran contenidos en el Modelo de la OECD sobre acuerdo de Intercambio de Información en Materias Tributarias</w:t>
      </w:r>
      <w:r w:rsidRPr="0011267F">
        <w:rPr>
          <w:rStyle w:val="FootnoteReference"/>
          <w:rFonts w:hAnsi="Calibri" w:cs="Calibri"/>
          <w:i/>
          <w:sz w:val="24"/>
          <w:szCs w:val="24"/>
        </w:rPr>
        <w:footnoteReference w:id="122"/>
      </w:r>
      <w:r w:rsidRPr="0011267F">
        <w:rPr>
          <w:rFonts w:hAnsi="Calibri" w:cs="Calibri"/>
          <w:i/>
          <w:sz w:val="24"/>
          <w:szCs w:val="24"/>
        </w:rPr>
        <w:t xml:space="preserve"> y en el Artículo 26 del Modelo de Convenio Tributario sobre la Renta y el Patrimonio de la OECD</w:t>
      </w:r>
      <w:r w:rsidRPr="0011267F">
        <w:rPr>
          <w:rStyle w:val="FootnoteReference"/>
          <w:rFonts w:hAnsi="Calibri" w:cs="Calibri"/>
          <w:i/>
          <w:sz w:val="24"/>
          <w:szCs w:val="24"/>
        </w:rPr>
        <w:footnoteReference w:id="123"/>
      </w:r>
      <w:r w:rsidRPr="0011267F">
        <w:rPr>
          <w:rFonts w:hAnsi="Calibri" w:cs="Calibri"/>
          <w:i/>
          <w:sz w:val="24"/>
          <w:szCs w:val="24"/>
        </w:rPr>
        <w:t xml:space="preserve"> y sus respectivos comentarios.</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i/>
          <w:sz w:val="24"/>
          <w:szCs w:val="24"/>
        </w:rPr>
        <w:t>En cumplimiento de su mandato, el GFTEOI evalúa la implementación de dichos estándares en aspectos normativos y prácticos y, consecuentemente, califica a las jurisdicciones y países participantes como cumplidores (“compliant”), sustancialmente cumplidores (“largely compliant”), parcialmente cumplidores (“partially compliant”) o incumplidores (“non compliant”) de dichos estándares]</w:t>
      </w:r>
      <w:r w:rsidRPr="0011267F">
        <w:rPr>
          <w:rStyle w:val="FootnoteReference"/>
          <w:rFonts w:hAnsi="Calibri" w:cs="Calibri"/>
          <w:i/>
          <w:sz w:val="24"/>
          <w:szCs w:val="24"/>
        </w:rPr>
        <w:footnoteReference w:id="124"/>
      </w:r>
      <w:r w:rsidRPr="0011267F">
        <w:rPr>
          <w:rFonts w:hAnsi="Calibri" w:cs="Calibri"/>
          <w: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Por lo expuesto, se concluye que un territorio o jurisdicción encuadra en la letra d) detallada cuando </w:t>
      </w:r>
      <w:r w:rsidRPr="0011267F">
        <w:rPr>
          <w:rFonts w:hAnsi="Calibri" w:cs="Calibri"/>
          <w:i/>
          <w:sz w:val="24"/>
          <w:szCs w:val="24"/>
        </w:rPr>
        <w:t>[…] no ha sido calificado como cumplidor (“Compliant”) o sustancialmente cumplidor (“Largely compliant”) de los estándares internacionalmente aceptados en materia de transparencia e intercambio de información con fines fiscales, según la calificación asignada por la OECD, a través de su GFTEOI]</w:t>
      </w:r>
      <w:r w:rsidRPr="0011267F">
        <w:rPr>
          <w:rStyle w:val="FootnoteReference"/>
          <w:rFonts w:hAnsi="Calibri" w:cs="Calibri"/>
          <w:sz w:val="24"/>
          <w:szCs w:val="24"/>
        </w:rPr>
        <w:footnoteReference w:id="125"/>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Asimismo, respecto a los antecedentes que dieron lugar a que se considere que un  territorio o jurisdicción tenga un régimen fiscal preferencial, que no cumpla con los estándares internacionales en la materia de acuerdo a calificación efectuada por la Organización de Cooperación y Desarrollo Económicos, encuentra fundamento en el hecho que </w:t>
      </w:r>
      <w:r w:rsidRPr="0011267F">
        <w:rPr>
          <w:rFonts w:hAnsi="Calibri" w:cs="Calibri"/>
          <w:i/>
          <w:sz w:val="24"/>
          <w:szCs w:val="24"/>
        </w:rPr>
        <w:t>[l]a OECD creó el año 1998, el Foro sobre Prácticas Fiscales Nocivas (“FHTP”, según sus siglas en inglés) con la finalidad de evaluar los regímenes preferenciales (incentivos tributarios) establecidos en las legislaciones de los países miembros de la OECD. Con posterioridad, y en el contexto del proyecto B</w:t>
      </w:r>
      <w:r>
        <w:rPr>
          <w:rFonts w:hAnsi="Calibri" w:cs="Calibri"/>
          <w:i/>
          <w:sz w:val="24"/>
          <w:szCs w:val="24"/>
        </w:rPr>
        <w:t>E</w:t>
      </w:r>
      <w:r w:rsidRPr="0011267F">
        <w:rPr>
          <w:rFonts w:hAnsi="Calibri" w:cs="Calibri"/>
          <w:i/>
          <w:sz w:val="24"/>
          <w:szCs w:val="24"/>
        </w:rPr>
        <w:t>PS</w:t>
      </w:r>
      <w:r w:rsidRPr="0011267F">
        <w:rPr>
          <w:rStyle w:val="FootnoteReference"/>
          <w:rFonts w:hAnsi="Calibri" w:cs="Calibri"/>
          <w:i/>
          <w:sz w:val="24"/>
          <w:szCs w:val="24"/>
        </w:rPr>
        <w:footnoteReference w:id="126"/>
      </w:r>
      <w:r w:rsidRPr="0011267F">
        <w:rPr>
          <w:rFonts w:hAnsi="Calibri" w:cs="Calibri"/>
          <w:i/>
          <w:sz w:val="24"/>
          <w:szCs w:val="24"/>
        </w:rPr>
        <w:t>, la OCDE extendió el mandato del FHTP para cubrir a los países miembros del G20 y a otros países o jurisdicciones que la OECD considere relevantes. Cabe tener presente que la OECD periódicamente publica reportes con el listado actualizado de regímenes preferenciales que han sido revisados y donde se concluye si estos cumplen con los estándares internacionales en la materia o si, por el contrario, se consideran potencialmente nocivos, nocivos, o de cualquier forma inconsistentes con dichos estándares]</w:t>
      </w:r>
      <w:r w:rsidRPr="0011267F">
        <w:rPr>
          <w:rStyle w:val="FootnoteReference"/>
          <w:rFonts w:hAnsi="Calibri" w:cs="Calibri"/>
          <w:i/>
          <w:sz w:val="24"/>
          <w:szCs w:val="24"/>
        </w:rPr>
        <w:t xml:space="preserve"> </w:t>
      </w:r>
      <w:r w:rsidRPr="0011267F">
        <w:rPr>
          <w:rStyle w:val="FootnoteReference"/>
          <w:rFonts w:hAnsi="Calibri" w:cs="Calibri"/>
          <w:i/>
          <w:sz w:val="24"/>
          <w:szCs w:val="24"/>
        </w:rPr>
        <w:footnoteReference w:id="127"/>
      </w:r>
      <w:r w:rsidRPr="0011267F">
        <w:rPr>
          <w:rStyle w:val="FootnoteReference"/>
          <w:rFonts w:hAnsi="Calibri" w:cs="Calibri"/>
          <w:i/>
          <w:sz w:val="24"/>
          <w:szCs w:val="24"/>
        </w:rPr>
        <w:footnoteReference w:id="128"/>
      </w:r>
      <w:r w:rsidRPr="0011267F">
        <w:rPr>
          <w:rFonts w:hAnsi="Calibri" w:cs="Calibri"/>
          <w: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 xml:space="preserve">En conclusión, la jurisdicción o territorio que cumpla los siguientes requisitos estará comprendido en la letra e) citada, a saber: </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 xml:space="preserve">[i]) En su legislación mantenga vigentes uno o más regímenes preferenciales para fines fiscales, y </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i/>
          <w:sz w:val="24"/>
          <w:szCs w:val="24"/>
        </w:rPr>
        <w:t>ii) Que uno o más de dichos regímenes preferenciales haya sido revisado por el FHTP de la OECD y considerado como potencialmente nocivo, nocivo o de cualquier forma inconsistente con los estándares internacionales en la materia]</w:t>
      </w:r>
      <w:r w:rsidRPr="0011267F">
        <w:rPr>
          <w:rStyle w:val="FootnoteReference"/>
          <w:rFonts w:hAnsi="Calibri" w:cs="Calibri"/>
          <w:sz w:val="24"/>
          <w:szCs w:val="24"/>
        </w:rPr>
        <w:footnoteReference w:id="129"/>
      </w:r>
      <w:r w:rsidRPr="0011267F">
        <w:rPr>
          <w:rFonts w:hAnsi="Calibri" w:cs="Calibri"/>
          <w:sz w:val="24"/>
          <w:szCs w:val="24"/>
        </w:rPr>
        <w:t>.</w:t>
      </w:r>
    </w:p>
    <w:p w:rsidR="00D529C5" w:rsidRPr="005730AF" w:rsidRDefault="00D529C5" w:rsidP="0011267F">
      <w:pPr>
        <w:pStyle w:val="Heading3"/>
        <w:numPr>
          <w:ilvl w:val="2"/>
          <w:numId w:val="39"/>
        </w:numPr>
        <w:spacing w:line="240" w:lineRule="auto"/>
        <w:jc w:val="both"/>
        <w:rPr>
          <w:rFonts w:ascii="Calibri" w:hAnsi="Calibri" w:cs="Calibri"/>
          <w:color w:val="auto"/>
          <w:sz w:val="24"/>
          <w:szCs w:val="24"/>
        </w:rPr>
      </w:pPr>
      <w:bookmarkStart w:id="70" w:name="_Toc491335400"/>
      <w:bookmarkStart w:id="71" w:name="_Toc492313346"/>
      <w:r w:rsidRPr="005730AF">
        <w:rPr>
          <w:rFonts w:ascii="Calibri" w:hAnsi="Calibri" w:cs="Calibri"/>
          <w:color w:val="000000"/>
          <w:sz w:val="24"/>
          <w:szCs w:val="24"/>
        </w:rPr>
        <w:t>Colombia</w:t>
      </w:r>
      <w:bookmarkEnd w:id="70"/>
      <w:bookmarkEnd w:id="71"/>
    </w:p>
    <w:p w:rsidR="00D529C5" w:rsidRPr="005730AF" w:rsidRDefault="00D529C5" w:rsidP="005730AF"/>
    <w:p w:rsidR="00D529C5" w:rsidRPr="0011267F" w:rsidRDefault="00D529C5" w:rsidP="0011267F">
      <w:pPr>
        <w:spacing w:after="0" w:line="240" w:lineRule="auto"/>
        <w:jc w:val="both"/>
        <w:rPr>
          <w:rFonts w:hAnsi="Calibri" w:cs="Calibri"/>
          <w:bCs/>
          <w:sz w:val="24"/>
          <w:szCs w:val="24"/>
        </w:rPr>
      </w:pPr>
      <w:r w:rsidRPr="0011267F">
        <w:rPr>
          <w:rFonts w:hAnsi="Calibri" w:cs="Calibri"/>
          <w:bCs/>
          <w:sz w:val="24"/>
          <w:szCs w:val="24"/>
        </w:rPr>
        <w:t>La norma colombiana</w:t>
      </w:r>
      <w:r w:rsidRPr="0011267F">
        <w:rPr>
          <w:rStyle w:val="FootnoteReference"/>
          <w:rFonts w:hAnsi="Calibri" w:cs="Calibri"/>
          <w:bCs/>
          <w:sz w:val="24"/>
          <w:szCs w:val="24"/>
        </w:rPr>
        <w:footnoteReference w:id="130"/>
      </w:r>
      <w:r w:rsidRPr="0011267F">
        <w:rPr>
          <w:rFonts w:hAnsi="Calibri" w:cs="Calibri"/>
          <w:bCs/>
          <w:sz w:val="24"/>
          <w:szCs w:val="24"/>
        </w:rPr>
        <w:t xml:space="preserve"> presenta una definición de jurisdicciones no cooperantes, de baja o nula imposición y regímenes tributarios preferenciales a los fines del impuesto sobre la renta y de los que lo complementan. El Estatuto faculta al Gobierno Nacional a reglamentar las jurisdicciones que queden comprendidas en tal definición en virtud de uno cualquiera de los siguientes criterios, a saber</w:t>
      </w:r>
      <w:r w:rsidRPr="0011267F">
        <w:rPr>
          <w:rStyle w:val="FootnoteReference"/>
          <w:rFonts w:hAnsi="Calibri" w:cs="Calibri"/>
          <w:bCs/>
          <w:sz w:val="24"/>
          <w:szCs w:val="24"/>
        </w:rPr>
        <w:footnoteReference w:id="131"/>
      </w:r>
      <w:r w:rsidRPr="0011267F">
        <w:rPr>
          <w:rFonts w:hAnsi="Calibri" w:cs="Calibri"/>
          <w:bCs/>
          <w:sz w:val="24"/>
          <w:szCs w:val="24"/>
        </w:rPr>
        <w:t>:</w:t>
      </w:r>
    </w:p>
    <w:p w:rsidR="00D529C5" w:rsidRPr="0011267F" w:rsidRDefault="00D529C5" w:rsidP="0011267F">
      <w:pPr>
        <w:spacing w:after="0" w:line="240" w:lineRule="auto"/>
        <w:jc w:val="both"/>
        <w:rPr>
          <w:rFonts w:hAnsi="Calibri" w:cs="Calibri"/>
          <w:bCs/>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 xml:space="preserve">[a]. Inexistencia de tipos impositivos o existencia de tipos nominales sobre la renta bajos, con respecto a los que se aplicarían en Colombia en operaciones similares. </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 xml:space="preserve">b. Carencia de un efectivo intercambio de información o existencia de normas legales o prácticas administrativas que lo limiten. </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 xml:space="preserve">c. Falta de transparencia a nivel legal, reglamentario o de funcionamiento administrativo. </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 xml:space="preserve">d. Inexistencia del requisito de una presencia local sustantiva, del ejercicio de una actividad real y con sustancia económica. </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 xml:space="preserve">e. Además de los criterios señalados, el Gobierno Nacional tendrá como referencia los criterios internacionalmente aceptados para la determinación de las jurisdicciones no cooperantes o de baja o nula imposición]. </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sz w:val="24"/>
          <w:szCs w:val="24"/>
        </w:rPr>
      </w:pPr>
      <w:r w:rsidRPr="0011267F">
        <w:rPr>
          <w:rFonts w:hAnsi="Calibri" w:cs="Calibri"/>
          <w:bCs/>
          <w:sz w:val="24"/>
          <w:szCs w:val="24"/>
        </w:rPr>
        <w:t xml:space="preserve">En ese mismo artículo del Estatuto, se plantean los criterios que, </w:t>
      </w:r>
      <w:r>
        <w:rPr>
          <w:rFonts w:hAnsi="Calibri" w:cs="Calibri"/>
          <w:bCs/>
          <w:sz w:val="24"/>
          <w:szCs w:val="24"/>
        </w:rPr>
        <w:t xml:space="preserve">de </w:t>
      </w:r>
      <w:r w:rsidRPr="0011267F">
        <w:rPr>
          <w:rFonts w:hAnsi="Calibri" w:cs="Calibri"/>
          <w:bCs/>
          <w:sz w:val="24"/>
          <w:szCs w:val="24"/>
        </w:rPr>
        <w:t>cumpl</w:t>
      </w:r>
      <w:r>
        <w:rPr>
          <w:rFonts w:hAnsi="Calibri" w:cs="Calibri"/>
          <w:bCs/>
          <w:sz w:val="24"/>
          <w:szCs w:val="24"/>
        </w:rPr>
        <w:t>irse</w:t>
      </w:r>
      <w:r w:rsidRPr="0011267F">
        <w:rPr>
          <w:rFonts w:hAnsi="Calibri" w:cs="Calibri"/>
          <w:bCs/>
          <w:sz w:val="24"/>
          <w:szCs w:val="24"/>
        </w:rPr>
        <w:t xml:space="preserve"> en</w:t>
      </w:r>
      <w:r>
        <w:rPr>
          <w:rFonts w:hAnsi="Calibri" w:cs="Calibri"/>
          <w:bCs/>
          <w:sz w:val="24"/>
          <w:szCs w:val="24"/>
        </w:rPr>
        <w:t xml:space="preserve"> un </w:t>
      </w:r>
      <w:r w:rsidRPr="0011267F">
        <w:rPr>
          <w:rFonts w:hAnsi="Calibri" w:cs="Calibri"/>
          <w:bCs/>
          <w:sz w:val="24"/>
          <w:szCs w:val="24"/>
        </w:rPr>
        <w:t xml:space="preserve"> número de dos, determina</w:t>
      </w:r>
      <w:r>
        <w:rPr>
          <w:rFonts w:hAnsi="Calibri" w:cs="Calibri"/>
          <w:bCs/>
          <w:sz w:val="24"/>
          <w:szCs w:val="24"/>
        </w:rPr>
        <w:t>n que se</w:t>
      </w:r>
      <w:r w:rsidRPr="0011267F">
        <w:rPr>
          <w:rFonts w:hAnsi="Calibri" w:cs="Calibri"/>
          <w:bCs/>
          <w:sz w:val="24"/>
          <w:szCs w:val="24"/>
        </w:rPr>
        <w:t xml:space="preserve"> est</w:t>
      </w:r>
      <w:r>
        <w:rPr>
          <w:rFonts w:hAnsi="Calibri" w:cs="Calibri"/>
          <w:bCs/>
          <w:sz w:val="24"/>
          <w:szCs w:val="24"/>
        </w:rPr>
        <w:t>é</w:t>
      </w:r>
      <w:r w:rsidRPr="0011267F">
        <w:rPr>
          <w:rFonts w:hAnsi="Calibri" w:cs="Calibri"/>
          <w:bCs/>
          <w:sz w:val="24"/>
          <w:szCs w:val="24"/>
        </w:rPr>
        <w:t xml:space="preserve"> frente a un régimen tributario preferencial:</w:t>
      </w:r>
    </w:p>
    <w:p w:rsidR="00D529C5" w:rsidRPr="0011267F" w:rsidRDefault="00D529C5" w:rsidP="0011267F">
      <w:pPr>
        <w:spacing w:after="0" w:line="240" w:lineRule="auto"/>
        <w:jc w:val="both"/>
        <w:rPr>
          <w:rFonts w:hAnsi="Calibri" w:cs="Calibri"/>
          <w:bCs/>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 xml:space="preserve">[a]. Inexistencia de tipos impositivos o existencia de tipos nominales sobre la renta bajos, con respecto a los que se aplicarían en Colombia en operaciones similares. </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 xml:space="preserve">b. Carencia de un efectivo intercambio de información o existencia de normas legales o prácticas administrativas que lo limiten. </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 xml:space="preserve">c. Falta de transparencia a nivel legal, reglamentario o de funcionamiento administrativo. </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d. lnexistencia del requisito de una presencia local sustantiva, del ejercicio de una actividad real y con sustancia económica.</w:t>
      </w:r>
    </w:p>
    <w:p w:rsidR="00D529C5" w:rsidRPr="0011267F" w:rsidRDefault="00D529C5" w:rsidP="0011267F">
      <w:pPr>
        <w:spacing w:after="0" w:line="240" w:lineRule="auto"/>
        <w:jc w:val="both"/>
        <w:rPr>
          <w:rFonts w:hAnsi="Calibri" w:cs="Calibri"/>
          <w:bCs/>
          <w:i/>
          <w:sz w:val="24"/>
          <w:szCs w:val="24"/>
        </w:rPr>
      </w:pPr>
    </w:p>
    <w:p w:rsidR="00D529C5" w:rsidRPr="0011267F" w:rsidRDefault="00D529C5" w:rsidP="0011267F">
      <w:pPr>
        <w:spacing w:after="0" w:line="240" w:lineRule="auto"/>
        <w:jc w:val="both"/>
        <w:rPr>
          <w:rFonts w:hAnsi="Calibri" w:cs="Calibri"/>
          <w:bCs/>
          <w:i/>
          <w:sz w:val="24"/>
          <w:szCs w:val="24"/>
        </w:rPr>
      </w:pPr>
      <w:r w:rsidRPr="0011267F">
        <w:rPr>
          <w:rFonts w:hAnsi="Calibri" w:cs="Calibri"/>
          <w:bCs/>
          <w:i/>
          <w:sz w:val="24"/>
          <w:szCs w:val="24"/>
        </w:rPr>
        <w:t>e. Aquellos regímenes a los que sólo pueden tener acceso personas o entidades consideradas como no residentes de la jurisdicción en la que opera el régimen tributario preferencial correspondiente (ring f</w:t>
      </w:r>
      <w:r>
        <w:rPr>
          <w:rFonts w:hAnsi="Calibri" w:cs="Calibri"/>
          <w:bCs/>
          <w:i/>
          <w:sz w:val="24"/>
          <w:szCs w:val="24"/>
        </w:rPr>
        <w:t>encing</w:t>
      </w:r>
      <w:r w:rsidRPr="0011267F">
        <w:rPr>
          <w:rFonts w:hAnsi="Calibri" w:cs="Calibri"/>
          <w:bCs/>
          <w:i/>
          <w:sz w:val="24"/>
          <w:szCs w:val="24"/>
        </w:rPr>
        <w:t>)]</w:t>
      </w:r>
      <w:r w:rsidRPr="0011267F">
        <w:rPr>
          <w:rStyle w:val="FootnoteReference"/>
          <w:rFonts w:hAnsi="Calibri" w:cs="Calibri"/>
          <w:bCs/>
          <w:i/>
          <w:sz w:val="24"/>
          <w:szCs w:val="24"/>
        </w:rPr>
        <w:footnoteReference w:id="132"/>
      </w:r>
      <w:r w:rsidRPr="0011267F">
        <w:rPr>
          <w:rFonts w:hAnsi="Calibri" w:cs="Calibri"/>
          <w:bCs/>
          <w:i/>
          <w:sz w:val="24"/>
          <w:szCs w:val="24"/>
        </w:rPr>
        <w:t>.</w:t>
      </w:r>
    </w:p>
    <w:p w:rsidR="00D529C5" w:rsidRPr="0011267F" w:rsidRDefault="00D529C5" w:rsidP="0011267F">
      <w:pPr>
        <w:spacing w:after="0" w:line="240" w:lineRule="auto"/>
        <w:jc w:val="both"/>
        <w:rPr>
          <w:rFonts w:hAnsi="Calibri" w:cs="Calibri"/>
          <w:bCs/>
          <w:sz w:val="24"/>
          <w:szCs w:val="24"/>
        </w:rPr>
      </w:pPr>
    </w:p>
    <w:p w:rsidR="00D529C5" w:rsidRPr="0011267F" w:rsidRDefault="00D529C5" w:rsidP="0011267F">
      <w:pPr>
        <w:spacing w:after="0" w:line="240" w:lineRule="auto"/>
        <w:jc w:val="both"/>
        <w:rPr>
          <w:rFonts w:hAnsi="Calibri" w:cs="Calibri"/>
          <w:bCs/>
          <w:sz w:val="24"/>
          <w:szCs w:val="24"/>
        </w:rPr>
      </w:pPr>
      <w:r w:rsidRPr="0011267F">
        <w:rPr>
          <w:rFonts w:hAnsi="Calibri" w:cs="Calibri"/>
          <w:bCs/>
          <w:sz w:val="24"/>
          <w:szCs w:val="24"/>
        </w:rPr>
        <w:t>Se le conceden facultades al Gobierno Nacional para que emita listados siguiendo los criterios mencionados y otros internacionalmente aceptados, de regímenes que se consideran como regímenes tributarios preferenciales</w:t>
      </w:r>
      <w:r w:rsidRPr="0011267F">
        <w:rPr>
          <w:rStyle w:val="FootnoteReference"/>
          <w:rFonts w:hAnsi="Calibri" w:cs="Calibri"/>
          <w:bCs/>
          <w:sz w:val="24"/>
          <w:szCs w:val="24"/>
        </w:rPr>
        <w:footnoteReference w:id="133"/>
      </w:r>
      <w:r w:rsidRPr="0011267F">
        <w:rPr>
          <w:rFonts w:hAnsi="Calibri" w:cs="Calibri"/>
          <w:bCs/>
          <w:sz w:val="24"/>
          <w:szCs w:val="24"/>
        </w:rPr>
        <w:t xml:space="preserve">. </w:t>
      </w:r>
    </w:p>
    <w:p w:rsidR="00D529C5" w:rsidRPr="0011267F" w:rsidRDefault="00D529C5" w:rsidP="0011267F">
      <w:pPr>
        <w:spacing w:after="0" w:line="240" w:lineRule="auto"/>
        <w:jc w:val="both"/>
        <w:rPr>
          <w:rFonts w:hAnsi="Calibri" w:cs="Calibri"/>
          <w:bCs/>
          <w:sz w:val="24"/>
          <w:szCs w:val="24"/>
        </w:rPr>
      </w:pPr>
    </w:p>
    <w:p w:rsidR="00D529C5" w:rsidRPr="0011267F" w:rsidRDefault="00D529C5" w:rsidP="0011267F">
      <w:pPr>
        <w:spacing w:after="0" w:line="240" w:lineRule="auto"/>
        <w:jc w:val="both"/>
        <w:rPr>
          <w:rFonts w:hAnsi="Calibri" w:cs="Calibri"/>
          <w:bCs/>
          <w:sz w:val="24"/>
          <w:szCs w:val="24"/>
        </w:rPr>
      </w:pPr>
      <w:r w:rsidRPr="0011267F">
        <w:rPr>
          <w:rFonts w:hAnsi="Calibri" w:cs="Calibri"/>
          <w:bCs/>
          <w:sz w:val="24"/>
          <w:szCs w:val="24"/>
        </w:rPr>
        <w:t>La actualización de todos los listados citados precedentemente estará a cargo del Gobierno Nacional en oportunidad que lo estime pertinente</w:t>
      </w:r>
      <w:r w:rsidRPr="0011267F">
        <w:rPr>
          <w:rStyle w:val="FootnoteReference"/>
          <w:rFonts w:hAnsi="Calibri" w:cs="Calibri"/>
          <w:bCs/>
          <w:sz w:val="24"/>
          <w:szCs w:val="24"/>
        </w:rPr>
        <w:footnoteReference w:id="134"/>
      </w:r>
      <w:r w:rsidRPr="0011267F">
        <w:rPr>
          <w:rFonts w:hAnsi="Calibri" w:cs="Calibri"/>
          <w:bCs/>
          <w:sz w:val="24"/>
          <w:szCs w:val="24"/>
        </w:rPr>
        <w:t xml:space="preserve">. </w:t>
      </w:r>
    </w:p>
    <w:p w:rsidR="00D529C5" w:rsidRPr="0011267F" w:rsidRDefault="00D529C5" w:rsidP="0011267F">
      <w:pPr>
        <w:spacing w:after="0" w:line="240" w:lineRule="auto"/>
        <w:jc w:val="both"/>
        <w:rPr>
          <w:rFonts w:hAnsi="Calibri" w:cs="Calibri"/>
          <w:bCs/>
          <w:sz w:val="24"/>
          <w:szCs w:val="24"/>
        </w:rPr>
      </w:pPr>
    </w:p>
    <w:p w:rsidR="00D529C5" w:rsidRDefault="00D529C5" w:rsidP="0011267F">
      <w:pPr>
        <w:spacing w:after="0" w:line="240" w:lineRule="auto"/>
        <w:jc w:val="both"/>
        <w:rPr>
          <w:rFonts w:hAnsi="Calibri" w:cs="Calibri"/>
          <w:bCs/>
          <w:sz w:val="24"/>
          <w:szCs w:val="24"/>
        </w:rPr>
      </w:pPr>
      <w:r w:rsidRPr="0011267F">
        <w:rPr>
          <w:rFonts w:hAnsi="Calibri" w:cs="Calibri"/>
          <w:bCs/>
          <w:sz w:val="24"/>
          <w:szCs w:val="24"/>
        </w:rPr>
        <w:t>Finalmente, se señala la equivalencia a los fines legales de los términos “paraíso fiscal” y “jurisdicciones no cooperantes o de baja o nula imposición”</w:t>
      </w:r>
      <w:r w:rsidRPr="0011267F">
        <w:rPr>
          <w:rStyle w:val="FootnoteReference"/>
          <w:rFonts w:hAnsi="Calibri" w:cs="Calibri"/>
          <w:bCs/>
          <w:sz w:val="24"/>
          <w:szCs w:val="24"/>
        </w:rPr>
        <w:footnoteReference w:id="135"/>
      </w:r>
      <w:r w:rsidRPr="0011267F">
        <w:rPr>
          <w:rFonts w:hAnsi="Calibri" w:cs="Calibri"/>
          <w:bCs/>
          <w:sz w:val="24"/>
          <w:szCs w:val="24"/>
        </w:rPr>
        <w:t>.</w:t>
      </w:r>
    </w:p>
    <w:p w:rsidR="00D529C5" w:rsidRPr="0011267F" w:rsidRDefault="00D529C5" w:rsidP="0011267F">
      <w:pPr>
        <w:spacing w:after="0" w:line="240" w:lineRule="auto"/>
        <w:jc w:val="both"/>
        <w:rPr>
          <w:rFonts w:hAnsi="Calibri" w:cs="Calibri"/>
          <w:sz w:val="24"/>
          <w:szCs w:val="24"/>
        </w:rPr>
      </w:pPr>
    </w:p>
    <w:p w:rsidR="00D529C5" w:rsidRPr="000A345F" w:rsidRDefault="00D529C5" w:rsidP="00D8193A">
      <w:pPr>
        <w:pStyle w:val="Heading3"/>
        <w:numPr>
          <w:ilvl w:val="2"/>
          <w:numId w:val="39"/>
        </w:numPr>
        <w:rPr>
          <w:rFonts w:ascii="Calibri" w:hAnsi="Calibri" w:cs="Calibri"/>
          <w:color w:val="000000"/>
          <w:sz w:val="24"/>
          <w:szCs w:val="24"/>
        </w:rPr>
      </w:pPr>
      <w:bookmarkStart w:id="72" w:name="_Toc491335401"/>
      <w:bookmarkStart w:id="73" w:name="_Toc492313347"/>
      <w:r w:rsidRPr="000A345F">
        <w:rPr>
          <w:rFonts w:ascii="Calibri" w:hAnsi="Calibri" w:cs="Calibri"/>
          <w:color w:val="000000"/>
          <w:sz w:val="24"/>
          <w:szCs w:val="24"/>
        </w:rPr>
        <w:t>Perú</w:t>
      </w:r>
      <w:bookmarkEnd w:id="72"/>
      <w:bookmarkEnd w:id="73"/>
    </w:p>
    <w:p w:rsidR="00D529C5" w:rsidRPr="00CA3594" w:rsidRDefault="00D529C5" w:rsidP="00CA3594"/>
    <w:p w:rsidR="00D529C5" w:rsidRDefault="00D529C5" w:rsidP="0011267F">
      <w:pPr>
        <w:spacing w:after="0" w:line="240" w:lineRule="auto"/>
        <w:jc w:val="both"/>
        <w:rPr>
          <w:rFonts w:hAnsi="Calibri" w:cs="Calibri"/>
          <w:i/>
          <w:color w:val="000000"/>
          <w:sz w:val="24"/>
          <w:szCs w:val="24"/>
        </w:rPr>
      </w:pPr>
      <w:r w:rsidRPr="0011267F">
        <w:rPr>
          <w:rFonts w:hAnsi="Calibri" w:cs="Calibri"/>
          <w:color w:val="000000"/>
          <w:sz w:val="24"/>
          <w:szCs w:val="24"/>
        </w:rPr>
        <w:t>Existe en este país una lista taxativa de países o territorios de baja o nula imposición</w:t>
      </w:r>
      <w:r w:rsidRPr="0011267F">
        <w:rPr>
          <w:rStyle w:val="FootnoteReference"/>
          <w:rFonts w:hAnsi="Calibri" w:cs="Calibri"/>
          <w:color w:val="000000"/>
          <w:sz w:val="24"/>
          <w:szCs w:val="24"/>
        </w:rPr>
        <w:footnoteReference w:id="136"/>
      </w:r>
      <w:r w:rsidRPr="0011267F">
        <w:rPr>
          <w:rStyle w:val="FootnoteReference"/>
          <w:rFonts w:hAnsi="Calibri" w:cs="Calibri"/>
          <w:color w:val="000000"/>
          <w:sz w:val="24"/>
          <w:szCs w:val="24"/>
        </w:rPr>
        <w:footnoteReference w:id="137"/>
      </w:r>
      <w:r w:rsidRPr="0011267F">
        <w:rPr>
          <w:rFonts w:hAnsi="Calibri" w:cs="Calibri"/>
          <w:color w:val="000000"/>
          <w:sz w:val="24"/>
          <w:szCs w:val="24"/>
        </w:rPr>
        <w:t xml:space="preserve">. Además, concurren otras circunstancias en las que, un país o territorio puede ser catalogado bajo la misma condición, a saber </w:t>
      </w:r>
      <w:r w:rsidRPr="0011267F">
        <w:rPr>
          <w:rFonts w:hAnsi="Calibri" w:cs="Calibri"/>
          <w:i/>
          <w:color w:val="000000"/>
          <w:sz w:val="24"/>
          <w:szCs w:val="24"/>
        </w:rPr>
        <w:t>[a]quél donde la tasa efectiva del Impuesto a la Renta, cualquiera fuese la denominación que se dé a este tributo, sea cero por ciento (0%) o inferior en un cincuenta por ciento (50%) o más a la que correspondería en el Perú sobre rentas de la misma naturaleza, de conformidad con el Régimen General del Impuesto, y que, adicionalmente, presente al menos una de las siguientes características:</w:t>
      </w:r>
    </w:p>
    <w:p w:rsidR="00D529C5" w:rsidRPr="0011267F" w:rsidRDefault="00D529C5" w:rsidP="0011267F">
      <w:pPr>
        <w:spacing w:after="0" w:line="240" w:lineRule="auto"/>
        <w:jc w:val="both"/>
        <w:rPr>
          <w:rFonts w:hAnsi="Calibri" w:cs="Calibri"/>
          <w:i/>
          <w:color w:val="000000"/>
          <w:sz w:val="24"/>
          <w:szCs w:val="24"/>
        </w:rPr>
      </w:pP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a) Que no esté dispuesto a brindar información de los sujetos beneficiados con gravamen nulo o bajo.</w:t>
      </w: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b) Que en el país o territorio exista un régimen tributario particular para no residentes que contemple beneficios o ventajas tributarias que excluya explícita o implícitamente a los residentes.</w:t>
      </w:r>
    </w:p>
    <w:p w:rsidR="00D529C5" w:rsidRPr="0011267F" w:rsidRDefault="00D529C5" w:rsidP="0011267F">
      <w:pPr>
        <w:spacing w:after="0" w:line="240" w:lineRule="auto"/>
        <w:jc w:val="both"/>
        <w:rPr>
          <w:rFonts w:hAnsi="Calibri" w:cs="Calibri"/>
          <w:i/>
          <w:color w:val="000000"/>
          <w:sz w:val="24"/>
          <w:szCs w:val="24"/>
        </w:rPr>
      </w:pPr>
      <w:r w:rsidRPr="0011267F">
        <w:rPr>
          <w:rFonts w:hAnsi="Calibri" w:cs="Calibri"/>
          <w:i/>
          <w:color w:val="000000"/>
          <w:sz w:val="24"/>
          <w:szCs w:val="24"/>
        </w:rPr>
        <w:t>c) Que los sujetos beneficiados con una tributación baja o nula se encuentren impedidos, explícita o implícitamente, de operar en el mercado doméstico de dicho país o territorio.</w:t>
      </w:r>
    </w:p>
    <w:p w:rsidR="00D529C5" w:rsidRDefault="00D529C5" w:rsidP="0011267F">
      <w:pPr>
        <w:spacing w:after="0" w:line="240" w:lineRule="auto"/>
        <w:jc w:val="both"/>
        <w:rPr>
          <w:rFonts w:hAnsi="Calibri" w:cs="Calibri"/>
          <w:color w:val="000000"/>
          <w:sz w:val="24"/>
          <w:szCs w:val="24"/>
        </w:rPr>
      </w:pPr>
      <w:r w:rsidRPr="0011267F">
        <w:rPr>
          <w:rFonts w:hAnsi="Calibri" w:cs="Calibri"/>
          <w:i/>
          <w:color w:val="000000"/>
          <w:sz w:val="24"/>
          <w:szCs w:val="24"/>
        </w:rPr>
        <w:t>d) Que el país o territorio se publicite a sí mismo, o se perciba que se publicita a sí mismo, como un país o territorio a ser usado por no residentes para escapar del gravamen en su país de residencia]</w:t>
      </w:r>
      <w:r w:rsidRPr="0011267F">
        <w:rPr>
          <w:rStyle w:val="FootnoteReference"/>
          <w:rFonts w:hAnsi="Calibri" w:cs="Calibri"/>
          <w:i/>
          <w:color w:val="000000"/>
          <w:sz w:val="24"/>
          <w:szCs w:val="24"/>
        </w:rPr>
        <w:footnoteReference w:id="138"/>
      </w:r>
      <w:r w:rsidRPr="0011267F">
        <w:rPr>
          <w:rFonts w:hAnsi="Calibri" w:cs="Calibri"/>
          <w:color w:val="000000"/>
          <w:sz w:val="24"/>
          <w:szCs w:val="24"/>
        </w:rPr>
        <w:t>.</w:t>
      </w:r>
    </w:p>
    <w:p w:rsidR="00D529C5" w:rsidRPr="0011267F" w:rsidRDefault="00D529C5" w:rsidP="0011267F">
      <w:pPr>
        <w:spacing w:after="0" w:line="240" w:lineRule="auto"/>
        <w:jc w:val="both"/>
        <w:rPr>
          <w:rFonts w:hAnsi="Calibri" w:cs="Calibri"/>
          <w:color w:val="000000"/>
          <w:sz w:val="24"/>
          <w:szCs w:val="24"/>
        </w:rPr>
      </w:pPr>
    </w:p>
    <w:p w:rsidR="00D529C5" w:rsidRDefault="00D529C5" w:rsidP="0011267F">
      <w:pPr>
        <w:spacing w:after="0" w:line="240" w:lineRule="auto"/>
        <w:jc w:val="both"/>
        <w:rPr>
          <w:rFonts w:hAnsi="Calibri" w:cs="Calibri"/>
          <w:color w:val="000000"/>
          <w:sz w:val="24"/>
          <w:szCs w:val="24"/>
        </w:rPr>
      </w:pPr>
      <w:r w:rsidRPr="0011267F">
        <w:rPr>
          <w:rFonts w:hAnsi="Calibri" w:cs="Calibri"/>
          <w:color w:val="000000"/>
          <w:sz w:val="24"/>
          <w:szCs w:val="24"/>
        </w:rPr>
        <w:t xml:space="preserve">La normativa brinda la posibilidad de que un país o territorio pierda la calidad de baja o nula tributación si suscribiera con el Perú </w:t>
      </w:r>
      <w:r w:rsidRPr="00DE1759">
        <w:rPr>
          <w:rFonts w:hAnsi="Calibri" w:cs="Calibri"/>
          <w:i/>
          <w:color w:val="000000"/>
          <w:sz w:val="24"/>
          <w:szCs w:val="24"/>
        </w:rPr>
        <w:t>[u]n Convenio para evitar la doble imposición que incluya una cláusula de intercambio de información]</w:t>
      </w:r>
      <w:r w:rsidRPr="0011267F">
        <w:rPr>
          <w:rStyle w:val="FootnoteReference"/>
          <w:rFonts w:hAnsi="Calibri" w:cs="Calibri"/>
          <w:color w:val="000000"/>
          <w:sz w:val="24"/>
          <w:szCs w:val="24"/>
        </w:rPr>
        <w:footnoteReference w:id="139"/>
      </w:r>
      <w:r w:rsidRPr="0011267F">
        <w:rPr>
          <w:rFonts w:hAnsi="Calibri" w:cs="Calibri"/>
          <w:color w:val="000000"/>
          <w:sz w:val="24"/>
          <w:szCs w:val="24"/>
        </w:rPr>
        <w:t>, surtiendo efectos desde que el instrumento internacional entre en vigor</w:t>
      </w:r>
      <w:r w:rsidRPr="0011267F">
        <w:rPr>
          <w:rStyle w:val="FootnoteReference"/>
          <w:rFonts w:hAnsi="Calibri" w:cs="Calibri"/>
          <w:color w:val="000000"/>
          <w:sz w:val="24"/>
          <w:szCs w:val="24"/>
        </w:rPr>
        <w:footnoteReference w:id="140"/>
      </w:r>
      <w:r w:rsidRPr="0011267F">
        <w:rPr>
          <w:rFonts w:hAnsi="Calibri" w:cs="Calibri"/>
          <w:color w:val="000000"/>
          <w:sz w:val="24"/>
          <w:szCs w:val="24"/>
        </w:rPr>
        <w:t>.</w:t>
      </w:r>
    </w:p>
    <w:p w:rsidR="00D529C5" w:rsidRPr="0011267F" w:rsidRDefault="00D529C5" w:rsidP="0011267F">
      <w:pPr>
        <w:spacing w:after="0" w:line="240" w:lineRule="auto"/>
        <w:jc w:val="both"/>
        <w:rPr>
          <w:rFonts w:hAnsi="Calibri" w:cs="Calibri"/>
          <w:color w:val="000000"/>
          <w:sz w:val="24"/>
          <w:szCs w:val="24"/>
        </w:rPr>
      </w:pPr>
    </w:p>
    <w:p w:rsidR="00D529C5" w:rsidRPr="0011267F" w:rsidRDefault="00D529C5" w:rsidP="0011267F">
      <w:pPr>
        <w:spacing w:after="0" w:line="240" w:lineRule="auto"/>
        <w:jc w:val="both"/>
        <w:rPr>
          <w:rFonts w:hAnsi="Calibri" w:cs="Calibri"/>
          <w:color w:val="000000"/>
          <w:sz w:val="24"/>
          <w:szCs w:val="24"/>
        </w:rPr>
      </w:pPr>
      <w:r w:rsidRPr="0011267F">
        <w:rPr>
          <w:rFonts w:hAnsi="Calibri" w:cs="Calibri"/>
          <w:color w:val="000000"/>
          <w:sz w:val="24"/>
          <w:szCs w:val="24"/>
        </w:rPr>
        <w:t xml:space="preserve">Se define a la tasa efectiva </w:t>
      </w:r>
      <w:r w:rsidRPr="0011267F">
        <w:rPr>
          <w:rFonts w:hAnsi="Calibri" w:cs="Calibri"/>
          <w:i/>
          <w:color w:val="000000"/>
          <w:sz w:val="24"/>
          <w:szCs w:val="24"/>
        </w:rPr>
        <w:t>[a]l ratio que resulte de dividir el monto total del impuesto calculado entre la renta imponible, multiplicado por cien (100) y sin considerar decimales]</w:t>
      </w:r>
      <w:r w:rsidRPr="0011267F">
        <w:rPr>
          <w:rStyle w:val="FootnoteReference"/>
          <w:rFonts w:hAnsi="Calibri" w:cs="Calibri"/>
          <w:color w:val="000000"/>
          <w:sz w:val="24"/>
          <w:szCs w:val="24"/>
        </w:rPr>
        <w:footnoteReference w:id="141"/>
      </w:r>
      <w:r w:rsidRPr="0011267F">
        <w:rPr>
          <w:rFonts w:hAnsi="Calibri" w:cs="Calibri"/>
          <w:i/>
          <w:color w:val="000000"/>
          <w:sz w:val="24"/>
          <w:szCs w:val="24"/>
        </w:rPr>
        <w:t>.</w:t>
      </w:r>
    </w:p>
    <w:p w:rsidR="00D529C5" w:rsidRPr="0011267F" w:rsidRDefault="00D529C5" w:rsidP="0011267F">
      <w:pPr>
        <w:spacing w:after="0" w:line="240" w:lineRule="auto"/>
        <w:jc w:val="both"/>
        <w:rPr>
          <w:rFonts w:hAnsi="Calibri" w:cs="Calibri"/>
          <w:i/>
          <w:sz w:val="24"/>
          <w:szCs w:val="24"/>
        </w:rPr>
      </w:pPr>
    </w:p>
    <w:p w:rsidR="00D529C5" w:rsidRPr="00D8193A" w:rsidRDefault="00D529C5" w:rsidP="00084B52">
      <w:pPr>
        <w:pStyle w:val="Heading2"/>
        <w:numPr>
          <w:ilvl w:val="1"/>
          <w:numId w:val="39"/>
        </w:numPr>
      </w:pPr>
      <w:bookmarkStart w:id="74" w:name="_Toc492313348"/>
      <w:r w:rsidRPr="00D8193A">
        <w:t>Impacto de la definición de cooperante o no en la tributación</w:t>
      </w:r>
      <w:bookmarkEnd w:id="74"/>
    </w:p>
    <w:p w:rsidR="00D529C5" w:rsidRPr="0011267F" w:rsidRDefault="00D529C5" w:rsidP="0011267F">
      <w:pPr>
        <w:spacing w:after="0" w:line="240" w:lineRule="auto"/>
        <w:jc w:val="both"/>
        <w:rPr>
          <w:rFonts w:hAnsi="Calibri" w:cs="Calibri"/>
          <w:i/>
          <w:sz w:val="24"/>
          <w:szCs w:val="24"/>
          <w:u w:val="single"/>
          <w:lang w:val="es-ES"/>
        </w:rPr>
      </w:pPr>
    </w:p>
    <w:p w:rsidR="00D529C5" w:rsidRPr="0011267F" w:rsidRDefault="00D529C5" w:rsidP="0011267F">
      <w:pPr>
        <w:spacing w:after="0" w:line="240" w:lineRule="auto"/>
        <w:jc w:val="both"/>
        <w:rPr>
          <w:rFonts w:hAnsi="Calibri" w:cs="Calibri"/>
          <w:sz w:val="24"/>
          <w:szCs w:val="24"/>
          <w:lang w:val="es-ES"/>
        </w:rPr>
      </w:pPr>
      <w:r w:rsidRPr="0011267F">
        <w:rPr>
          <w:rFonts w:hAnsi="Calibri" w:cs="Calibri"/>
          <w:sz w:val="24"/>
          <w:szCs w:val="24"/>
          <w:lang w:val="es-ES"/>
        </w:rPr>
        <w:t>Existen diversas disposiciones</w:t>
      </w:r>
      <w:r>
        <w:rPr>
          <w:rFonts w:hAnsi="Calibri" w:cs="Calibri"/>
          <w:sz w:val="24"/>
          <w:szCs w:val="24"/>
          <w:lang w:val="es-ES"/>
        </w:rPr>
        <w:t xml:space="preserve"> en nuestro ordenamiento del impuesto a las ganancias y de procedimiento tributario </w:t>
      </w:r>
      <w:r w:rsidRPr="0011267F">
        <w:rPr>
          <w:rFonts w:hAnsi="Calibri" w:cs="Calibri"/>
          <w:sz w:val="24"/>
          <w:szCs w:val="24"/>
          <w:lang w:val="es-ES"/>
        </w:rPr>
        <w:t>que</w:t>
      </w:r>
      <w:r>
        <w:rPr>
          <w:rFonts w:hAnsi="Calibri" w:cs="Calibri"/>
          <w:sz w:val="24"/>
          <w:szCs w:val="24"/>
          <w:lang w:val="es-ES"/>
        </w:rPr>
        <w:t>,</w:t>
      </w:r>
      <w:r w:rsidRPr="0011267F">
        <w:rPr>
          <w:rFonts w:hAnsi="Calibri" w:cs="Calibri"/>
          <w:sz w:val="24"/>
          <w:szCs w:val="24"/>
          <w:lang w:val="es-ES"/>
        </w:rPr>
        <w:t xml:space="preserve"> requieren para su aplicación una definición de la calidad </w:t>
      </w:r>
      <w:r>
        <w:rPr>
          <w:rFonts w:hAnsi="Calibri" w:cs="Calibri"/>
          <w:sz w:val="24"/>
          <w:szCs w:val="24"/>
          <w:lang w:val="es-ES"/>
        </w:rPr>
        <w:t xml:space="preserve">de </w:t>
      </w:r>
      <w:r w:rsidRPr="0011267F">
        <w:rPr>
          <w:rFonts w:hAnsi="Calibri" w:cs="Calibri"/>
          <w:sz w:val="24"/>
          <w:szCs w:val="24"/>
          <w:lang w:val="es-ES"/>
        </w:rPr>
        <w:t>cooperante o no de una determinada jurisdicción. Entre ellas vemos las relacionadas con:</w:t>
      </w:r>
    </w:p>
    <w:p w:rsidR="00D529C5" w:rsidRPr="0011267F" w:rsidRDefault="00D529C5" w:rsidP="0011267F">
      <w:pPr>
        <w:spacing w:after="0" w:line="240" w:lineRule="auto"/>
        <w:jc w:val="both"/>
        <w:rPr>
          <w:rFonts w:hAnsi="Calibri" w:cs="Calibri"/>
          <w:sz w:val="24"/>
          <w:szCs w:val="24"/>
          <w:lang w:val="es-ES"/>
        </w:rPr>
      </w:pPr>
    </w:p>
    <w:p w:rsidR="00D529C5" w:rsidRPr="0011267F" w:rsidRDefault="00D529C5" w:rsidP="0011267F">
      <w:pPr>
        <w:pStyle w:val="ListParagraph"/>
        <w:numPr>
          <w:ilvl w:val="0"/>
          <w:numId w:val="16"/>
        </w:numPr>
        <w:tabs>
          <w:tab w:val="num" w:pos="1440"/>
        </w:tabs>
        <w:spacing w:after="0" w:line="240" w:lineRule="auto"/>
        <w:ind w:left="0" w:firstLine="0"/>
        <w:jc w:val="both"/>
        <w:rPr>
          <w:rFonts w:hAnsi="Calibri" w:cs="Calibri"/>
          <w:sz w:val="24"/>
          <w:szCs w:val="24"/>
        </w:rPr>
      </w:pPr>
      <w:r w:rsidRPr="0011267F">
        <w:rPr>
          <w:rFonts w:hAnsi="Calibri" w:cs="Calibri"/>
          <w:sz w:val="24"/>
          <w:szCs w:val="24"/>
          <w:lang w:val="es-ES"/>
        </w:rPr>
        <w:t xml:space="preserve">Precios de Transferencia: quedarán sujetas a este régimen las operaciones de exportación/importación de bienes que se realicen con sujetos localizados en </w:t>
      </w:r>
      <w:r w:rsidRPr="0011267F">
        <w:rPr>
          <w:rFonts w:hAnsi="Calibri" w:cs="Calibri"/>
          <w:bCs/>
          <w:sz w:val="24"/>
          <w:szCs w:val="24"/>
          <w:lang w:val="es-ES"/>
        </w:rPr>
        <w:t>países de baja o nula tributación</w:t>
      </w:r>
      <w:r w:rsidRPr="0011267F">
        <w:rPr>
          <w:rStyle w:val="FootnoteReference"/>
          <w:rFonts w:hAnsi="Calibri" w:cs="Calibri"/>
          <w:bCs/>
          <w:sz w:val="24"/>
          <w:szCs w:val="24"/>
          <w:lang w:val="es-ES"/>
        </w:rPr>
        <w:footnoteReference w:id="142"/>
      </w:r>
      <w:r>
        <w:rPr>
          <w:rFonts w:hAnsi="Calibri" w:cs="Calibri"/>
          <w:bCs/>
          <w:sz w:val="24"/>
          <w:szCs w:val="24"/>
          <w:lang w:val="es-ES"/>
        </w:rPr>
        <w:t>.</w:t>
      </w:r>
      <w:r w:rsidRPr="0011267F">
        <w:rPr>
          <w:rFonts w:hAnsi="Calibri" w:cs="Calibri"/>
          <w:bCs/>
          <w:sz w:val="24"/>
          <w:szCs w:val="24"/>
          <w:lang w:val="es-ES"/>
        </w:rPr>
        <w:t xml:space="preserve"> Esta metodología también la deberán aplicar los establecimientos estables</w:t>
      </w:r>
      <w:r w:rsidRPr="0011267F">
        <w:rPr>
          <w:rFonts w:hAnsi="Calibri" w:cs="Calibri"/>
          <w:sz w:val="24"/>
          <w:szCs w:val="24"/>
          <w:lang w:val="es-ES"/>
        </w:rPr>
        <w:t xml:space="preserve"> domiciliados o ubicados en el país o sociedades del artículo 49, incs. a) y b) o fideicomisos del artículo 49, inc. d’) por las transacciones que realicen con sujetos en los </w:t>
      </w:r>
      <w:r w:rsidRPr="0011267F">
        <w:rPr>
          <w:rFonts w:hAnsi="Calibri" w:cs="Calibri"/>
          <w:bCs/>
          <w:sz w:val="24"/>
          <w:szCs w:val="24"/>
          <w:lang w:val="es-ES"/>
        </w:rPr>
        <w:t>países de baja o nula tributación que, de manera taxativa, indique la reglamentación</w:t>
      </w:r>
      <w:r w:rsidRPr="0011267F">
        <w:rPr>
          <w:rStyle w:val="FootnoteReference"/>
          <w:rFonts w:hAnsi="Calibri" w:cs="Calibri"/>
          <w:bCs/>
          <w:sz w:val="24"/>
          <w:szCs w:val="24"/>
          <w:lang w:val="es-ES"/>
        </w:rPr>
        <w:footnoteReference w:id="143"/>
      </w:r>
      <w:r w:rsidRPr="0011267F">
        <w:rPr>
          <w:rFonts w:hAnsi="Calibri" w:cs="Calibri"/>
          <w:sz w:val="24"/>
          <w:szCs w:val="24"/>
          <w:lang w:val="es-ES"/>
        </w:rPr>
        <w:t>.</w:t>
      </w:r>
    </w:p>
    <w:p w:rsidR="00D529C5" w:rsidRPr="0011267F" w:rsidRDefault="00D529C5" w:rsidP="0011267F">
      <w:pPr>
        <w:pStyle w:val="ListParagraph"/>
        <w:spacing w:after="0" w:line="240" w:lineRule="auto"/>
        <w:ind w:left="0"/>
        <w:jc w:val="both"/>
        <w:rPr>
          <w:rFonts w:hAnsi="Calibri" w:cs="Calibri"/>
          <w:sz w:val="24"/>
          <w:szCs w:val="24"/>
        </w:rPr>
      </w:pPr>
    </w:p>
    <w:p w:rsidR="00D529C5" w:rsidRPr="0011267F" w:rsidRDefault="00D529C5" w:rsidP="0011267F">
      <w:pPr>
        <w:pStyle w:val="ListParagraph"/>
        <w:numPr>
          <w:ilvl w:val="0"/>
          <w:numId w:val="16"/>
        </w:numPr>
        <w:tabs>
          <w:tab w:val="num" w:pos="1440"/>
        </w:tabs>
        <w:spacing w:after="0" w:line="240" w:lineRule="auto"/>
        <w:ind w:left="0" w:firstLine="0"/>
        <w:jc w:val="both"/>
        <w:rPr>
          <w:rFonts w:hAnsi="Calibri" w:cs="Calibri"/>
          <w:sz w:val="24"/>
          <w:szCs w:val="24"/>
          <w:lang w:val="es-ES"/>
        </w:rPr>
      </w:pPr>
      <w:r w:rsidRPr="0011267F">
        <w:rPr>
          <w:rFonts w:hAnsi="Calibri" w:cs="Calibri"/>
          <w:sz w:val="24"/>
          <w:szCs w:val="24"/>
          <w:lang w:val="es-ES"/>
        </w:rPr>
        <w:t xml:space="preserve">Imputación de gastos: en el caso de erogaciones efectuadas por empresas locales que resulten ganancias de fuente argentina para personas o entes del extranjero con los que dichas empresas se encuentren vinculadas o para personas o entes ubicados, constituidos, radicados o domiciliados en jurisdicciones de baja o nula tributación, la imputación al balance impositivo sólo podrá efectuarse cuando se paguen o configure alguno de los casos previstos en el sexto párrafo del artículo 18 </w:t>
      </w:r>
      <w:r>
        <w:rPr>
          <w:rFonts w:hAnsi="Calibri" w:cs="Calibri"/>
          <w:sz w:val="24"/>
          <w:szCs w:val="24"/>
          <w:lang w:val="es-ES"/>
        </w:rPr>
        <w:t>de la ley</w:t>
      </w:r>
      <w:r w:rsidRPr="0011267F">
        <w:rPr>
          <w:rFonts w:hAnsi="Calibri" w:cs="Calibri"/>
          <w:sz w:val="24"/>
          <w:szCs w:val="24"/>
          <w:lang w:val="es-ES"/>
        </w:rPr>
        <w:t xml:space="preserve"> o, en su defecto, si alguna de dichas circunstancias se configura dentro del plazo previsto para la presentación de la declaración jurada en la que se haya devengado la respectiva erogación</w:t>
      </w:r>
      <w:r w:rsidRPr="0011267F">
        <w:rPr>
          <w:rStyle w:val="FootnoteReference"/>
          <w:rFonts w:hAnsi="Calibri" w:cs="Calibri"/>
          <w:bCs/>
          <w:sz w:val="24"/>
          <w:szCs w:val="24"/>
          <w:lang w:val="es-ES"/>
        </w:rPr>
        <w:footnoteReference w:id="144"/>
      </w:r>
      <w:r w:rsidRPr="0011267F">
        <w:rPr>
          <w:rFonts w:hAnsi="Calibri" w:cs="Calibri"/>
          <w:sz w:val="24"/>
          <w:szCs w:val="24"/>
          <w:lang w:val="es-ES"/>
        </w:rPr>
        <w:t>.</w:t>
      </w:r>
    </w:p>
    <w:p w:rsidR="00D529C5" w:rsidRPr="0011267F" w:rsidRDefault="00D529C5" w:rsidP="0011267F">
      <w:pPr>
        <w:pStyle w:val="ListParagraph"/>
        <w:spacing w:after="0" w:line="240" w:lineRule="auto"/>
        <w:ind w:left="0"/>
        <w:jc w:val="both"/>
        <w:rPr>
          <w:rFonts w:hAnsi="Calibri" w:cs="Calibri"/>
          <w:i/>
          <w:sz w:val="24"/>
          <w:szCs w:val="24"/>
        </w:rPr>
      </w:pPr>
    </w:p>
    <w:p w:rsidR="00D529C5" w:rsidRPr="0011267F" w:rsidRDefault="00D529C5" w:rsidP="0011267F">
      <w:pPr>
        <w:pStyle w:val="ListParagraph"/>
        <w:numPr>
          <w:ilvl w:val="0"/>
          <w:numId w:val="16"/>
        </w:numPr>
        <w:tabs>
          <w:tab w:val="num" w:pos="1440"/>
        </w:tabs>
        <w:spacing w:after="0" w:line="240" w:lineRule="auto"/>
        <w:ind w:left="0" w:firstLine="0"/>
        <w:jc w:val="both"/>
        <w:rPr>
          <w:rFonts w:hAnsi="Calibri" w:cs="Calibri"/>
          <w:sz w:val="24"/>
          <w:szCs w:val="24"/>
          <w:lang w:val="es-ES"/>
        </w:rPr>
      </w:pPr>
      <w:r w:rsidRPr="0011267F">
        <w:rPr>
          <w:rFonts w:hAnsi="Calibri" w:cs="Calibri"/>
          <w:sz w:val="24"/>
          <w:szCs w:val="24"/>
          <w:lang w:val="es-ES"/>
        </w:rPr>
        <w:t>Normas de transparencia fiscal internacional: los accionistas residentes en el país imputarán los resultados impositivos de fuente extranjera de las sociedades por acciones, constituidas o ubicadas en países de baja o nula tributación al ejercicio anual/año fiscal en el que finalice el correspondiente ejercicio anual de dichas sociedades, aunque no se remesen ni acrediten</w:t>
      </w:r>
      <w:r w:rsidRPr="0011267F">
        <w:rPr>
          <w:rStyle w:val="FootnoteReference"/>
          <w:rFonts w:hAnsi="Calibri" w:cs="Calibri"/>
          <w:bCs/>
          <w:sz w:val="24"/>
          <w:szCs w:val="24"/>
          <w:lang w:val="es-ES"/>
        </w:rPr>
        <w:footnoteReference w:id="145"/>
      </w:r>
      <w:r w:rsidRPr="0011267F">
        <w:rPr>
          <w:rFonts w:hAnsi="Calibri" w:cs="Calibri"/>
          <w:sz w:val="24"/>
          <w:szCs w:val="24"/>
          <w:lang w:val="es-ES"/>
        </w:rPr>
        <w:t>.</w:t>
      </w:r>
    </w:p>
    <w:p w:rsidR="00D529C5" w:rsidRPr="0011267F" w:rsidRDefault="00D529C5" w:rsidP="0011267F">
      <w:pPr>
        <w:pStyle w:val="ListParagraph"/>
        <w:spacing w:after="0" w:line="240" w:lineRule="auto"/>
        <w:ind w:left="0"/>
        <w:jc w:val="both"/>
        <w:rPr>
          <w:rFonts w:hAnsi="Calibri" w:cs="Calibri"/>
          <w:i/>
          <w:sz w:val="24"/>
          <w:szCs w:val="24"/>
        </w:rPr>
      </w:pPr>
    </w:p>
    <w:p w:rsidR="00D529C5" w:rsidRPr="0011267F" w:rsidRDefault="00D529C5" w:rsidP="0011267F">
      <w:pPr>
        <w:pStyle w:val="ListParagraph"/>
        <w:numPr>
          <w:ilvl w:val="0"/>
          <w:numId w:val="16"/>
        </w:numPr>
        <w:tabs>
          <w:tab w:val="num" w:pos="1440"/>
        </w:tabs>
        <w:spacing w:after="0" w:line="240" w:lineRule="auto"/>
        <w:ind w:left="0" w:firstLine="0"/>
        <w:jc w:val="both"/>
        <w:rPr>
          <w:rFonts w:hAnsi="Calibri" w:cs="Calibri"/>
          <w:sz w:val="24"/>
          <w:szCs w:val="24"/>
          <w:lang w:val="es-ES"/>
        </w:rPr>
      </w:pPr>
      <w:r w:rsidRPr="0011267F">
        <w:rPr>
          <w:rFonts w:hAnsi="Calibri" w:cs="Calibri"/>
          <w:sz w:val="24"/>
          <w:szCs w:val="24"/>
          <w:lang w:val="es-ES"/>
        </w:rPr>
        <w:t>Cómputo del impuesto análogo pagado en el exterior: los accionistas residentes en el país de sociedades radicadas en el extranjero pueden computar como crédito de impuesto los pagados en los países en los que se obtuvieren las ganancias, incluso los tributados por dichas sociedades en forma directa o indirectamente como consecuencia de su inversión en otra sociedad del exterior</w:t>
      </w:r>
      <w:r w:rsidRPr="0011267F">
        <w:rPr>
          <w:rStyle w:val="FootnoteReference"/>
          <w:rFonts w:hAnsi="Calibri" w:cs="Calibri"/>
          <w:bCs/>
          <w:sz w:val="24"/>
          <w:szCs w:val="24"/>
          <w:lang w:val="es-ES"/>
        </w:rPr>
        <w:footnoteReference w:id="146"/>
      </w:r>
      <w:r w:rsidRPr="0011267F">
        <w:rPr>
          <w:rFonts w:hAnsi="Calibri" w:cs="Calibri"/>
          <w:sz w:val="24"/>
          <w:szCs w:val="24"/>
          <w:lang w:val="es-ES"/>
        </w:rPr>
        <w:t>. Pero no se admite el cómputo de crédito fiscal extranjero por participaciones indirectas radicadas en una jurisdicción de baja o nula tributación</w:t>
      </w:r>
      <w:r w:rsidRPr="0011267F">
        <w:rPr>
          <w:rStyle w:val="FootnoteReference"/>
          <w:rFonts w:hAnsi="Calibri" w:cs="Calibri"/>
          <w:bCs/>
          <w:sz w:val="24"/>
          <w:szCs w:val="24"/>
          <w:lang w:val="es-ES"/>
        </w:rPr>
        <w:footnoteReference w:id="147"/>
      </w:r>
      <w:r w:rsidRPr="0011267F">
        <w:rPr>
          <w:rFonts w:hAnsi="Calibri" w:cs="Calibri"/>
          <w:sz w:val="24"/>
          <w:szCs w:val="24"/>
          <w:lang w:val="es-ES"/>
        </w:rPr>
        <w:t>.</w:t>
      </w:r>
    </w:p>
    <w:p w:rsidR="00D529C5" w:rsidRPr="0011267F" w:rsidRDefault="00D529C5" w:rsidP="0011267F">
      <w:pPr>
        <w:pStyle w:val="ListParagraph"/>
        <w:spacing w:after="0" w:line="240" w:lineRule="auto"/>
        <w:ind w:left="0"/>
        <w:jc w:val="both"/>
        <w:rPr>
          <w:rFonts w:hAnsi="Calibri" w:cs="Calibri"/>
          <w:sz w:val="24"/>
          <w:szCs w:val="24"/>
        </w:rPr>
      </w:pPr>
    </w:p>
    <w:p w:rsidR="00D529C5" w:rsidRPr="0011267F" w:rsidRDefault="00D529C5" w:rsidP="0011267F">
      <w:pPr>
        <w:pStyle w:val="ListParagraph"/>
        <w:numPr>
          <w:ilvl w:val="0"/>
          <w:numId w:val="16"/>
        </w:numPr>
        <w:tabs>
          <w:tab w:val="num" w:pos="1440"/>
        </w:tabs>
        <w:spacing w:after="0" w:line="240" w:lineRule="auto"/>
        <w:ind w:left="0" w:firstLine="0"/>
        <w:jc w:val="both"/>
        <w:rPr>
          <w:rFonts w:hAnsi="Calibri" w:cs="Calibri"/>
          <w:bCs/>
          <w:sz w:val="24"/>
          <w:szCs w:val="24"/>
        </w:rPr>
      </w:pPr>
      <w:r w:rsidRPr="0011267F">
        <w:rPr>
          <w:rFonts w:hAnsi="Calibri" w:cs="Calibri"/>
          <w:sz w:val="24"/>
          <w:szCs w:val="24"/>
          <w:lang w:val="es-ES"/>
        </w:rPr>
        <w:t>Dividendos de sociedades argentinas que conforman dividendos provenientes del exterior: los titulares residentes en el país de acciones de sociedades del exterior que participen (directa o indirectamente) en una sociedad argentina, considerarán no computables los dividendos distribuidos por la citada sociedad emisora, en la medida en que los mismos estén integrados por ganancias distribuidas por la sociedad argentina, que tributaron el impuesto. Pero, la norma no aplica cuando la sociedad emisora del exterior está en una jurisdicción de baja o nula tributación</w:t>
      </w:r>
      <w:r w:rsidRPr="0011267F">
        <w:rPr>
          <w:rStyle w:val="FootnoteReference"/>
          <w:rFonts w:hAnsi="Calibri" w:cs="Calibri"/>
          <w:bCs/>
          <w:sz w:val="24"/>
          <w:szCs w:val="24"/>
          <w:lang w:val="es-ES"/>
        </w:rPr>
        <w:footnoteReference w:id="148"/>
      </w:r>
      <w:r w:rsidRPr="0011267F">
        <w:rPr>
          <w:rFonts w:hAnsi="Calibri" w:cs="Calibri"/>
          <w:sz w:val="24"/>
          <w:szCs w:val="24"/>
          <w:lang w:val="es-ES"/>
        </w:rPr>
        <w:t>.</w:t>
      </w:r>
    </w:p>
    <w:p w:rsidR="00D529C5" w:rsidRPr="0011267F" w:rsidRDefault="00D529C5" w:rsidP="0011267F">
      <w:pPr>
        <w:pStyle w:val="ListParagraph"/>
        <w:spacing w:after="0" w:line="240" w:lineRule="auto"/>
        <w:ind w:left="0"/>
        <w:jc w:val="both"/>
        <w:rPr>
          <w:rFonts w:hAnsi="Calibri" w:cs="Calibri"/>
          <w:sz w:val="24"/>
          <w:szCs w:val="24"/>
        </w:rPr>
      </w:pPr>
    </w:p>
    <w:p w:rsidR="00D529C5" w:rsidRPr="0011267F" w:rsidRDefault="00D529C5" w:rsidP="0011267F">
      <w:pPr>
        <w:pStyle w:val="ListParagraph"/>
        <w:numPr>
          <w:ilvl w:val="0"/>
          <w:numId w:val="16"/>
        </w:numPr>
        <w:tabs>
          <w:tab w:val="num" w:pos="1440"/>
        </w:tabs>
        <w:spacing w:after="0" w:line="240" w:lineRule="auto"/>
        <w:ind w:left="0" w:firstLine="0"/>
        <w:jc w:val="both"/>
        <w:rPr>
          <w:rFonts w:hAnsi="Calibri" w:cs="Calibri"/>
          <w:sz w:val="24"/>
          <w:szCs w:val="24"/>
          <w:lang w:val="es-ES"/>
        </w:rPr>
      </w:pPr>
      <w:r w:rsidRPr="0011267F">
        <w:rPr>
          <w:rFonts w:hAnsi="Calibri" w:cs="Calibri"/>
          <w:sz w:val="24"/>
          <w:szCs w:val="24"/>
          <w:lang w:val="es-ES"/>
        </w:rPr>
        <w:t xml:space="preserve">Pago a beneficiarios del exterior en concepto de intereses: </w:t>
      </w:r>
    </w:p>
    <w:p w:rsidR="00D529C5" w:rsidRPr="0011267F" w:rsidRDefault="00D529C5" w:rsidP="0011267F">
      <w:pPr>
        <w:pStyle w:val="ListParagraph"/>
        <w:spacing w:after="0" w:line="240" w:lineRule="auto"/>
        <w:ind w:left="0"/>
        <w:jc w:val="both"/>
        <w:rPr>
          <w:rFonts w:hAnsi="Calibri" w:cs="Calibri"/>
          <w:sz w:val="24"/>
          <w:szCs w:val="24"/>
          <w:lang w:val="es-ES"/>
        </w:rPr>
      </w:pPr>
    </w:p>
    <w:p w:rsidR="00D529C5" w:rsidRPr="0011267F" w:rsidRDefault="00D529C5" w:rsidP="00CA3594">
      <w:pPr>
        <w:pStyle w:val="ListParagraph"/>
        <w:numPr>
          <w:ilvl w:val="1"/>
          <w:numId w:val="16"/>
        </w:numPr>
        <w:spacing w:after="0" w:line="240" w:lineRule="auto"/>
        <w:ind w:left="0" w:firstLine="567"/>
        <w:jc w:val="both"/>
        <w:rPr>
          <w:rFonts w:hAnsi="Calibri" w:cs="Calibri"/>
          <w:sz w:val="24"/>
          <w:szCs w:val="24"/>
        </w:rPr>
      </w:pPr>
      <w:r w:rsidRPr="0011267F">
        <w:rPr>
          <w:rFonts w:hAnsi="Calibri" w:cs="Calibri"/>
          <w:sz w:val="24"/>
          <w:szCs w:val="24"/>
          <w:lang w:val="es-ES"/>
        </w:rPr>
        <w:t xml:space="preserve">Apartado 1): Presunción de ganancia neta de fuente argentina del 43% para intereses/retribuciones por créditos/préstamos/colocaciones cuando el acreedor sea una entidad bancaria o financiera </w:t>
      </w:r>
      <w:r w:rsidRPr="0011267F">
        <w:rPr>
          <w:rFonts w:hAnsi="Calibri" w:cs="Calibri"/>
          <w:bCs/>
          <w:sz w:val="24"/>
          <w:szCs w:val="24"/>
          <w:lang w:val="es-ES"/>
        </w:rPr>
        <w:t>bajo supervisión del respectivo banco central u organismo equivalente</w:t>
      </w:r>
      <w:r w:rsidRPr="0011267F">
        <w:rPr>
          <w:rFonts w:hAnsi="Calibri" w:cs="Calibri"/>
          <w:sz w:val="24"/>
          <w:szCs w:val="24"/>
          <w:lang w:val="es-ES"/>
        </w:rPr>
        <w:t>:</w:t>
      </w:r>
    </w:p>
    <w:p w:rsidR="00D529C5" w:rsidRPr="0011267F" w:rsidRDefault="00D529C5" w:rsidP="0011267F">
      <w:pPr>
        <w:numPr>
          <w:ilvl w:val="2"/>
          <w:numId w:val="30"/>
        </w:numPr>
        <w:spacing w:after="0" w:line="240" w:lineRule="auto"/>
        <w:ind w:left="0" w:firstLine="1701"/>
        <w:jc w:val="both"/>
        <w:rPr>
          <w:rFonts w:hAnsi="Calibri" w:cs="Calibri"/>
          <w:sz w:val="24"/>
          <w:szCs w:val="24"/>
        </w:rPr>
      </w:pPr>
      <w:r w:rsidRPr="0011267F">
        <w:rPr>
          <w:rFonts w:hAnsi="Calibri" w:cs="Calibri"/>
          <w:sz w:val="24"/>
          <w:szCs w:val="24"/>
          <w:lang w:val="es-ES"/>
        </w:rPr>
        <w:t xml:space="preserve">en jurisdicciones no consideradas de </w:t>
      </w:r>
      <w:r w:rsidRPr="0011267F">
        <w:rPr>
          <w:rFonts w:hAnsi="Calibri" w:cs="Calibri"/>
          <w:bCs/>
          <w:sz w:val="24"/>
          <w:szCs w:val="24"/>
          <w:lang w:val="es-ES"/>
        </w:rPr>
        <w:t>nula o baja tributación</w:t>
      </w:r>
      <w:r w:rsidRPr="0011267F">
        <w:rPr>
          <w:rFonts w:hAnsi="Calibri" w:cs="Calibri"/>
          <w:sz w:val="24"/>
          <w:szCs w:val="24"/>
          <w:lang w:val="es-ES"/>
        </w:rPr>
        <w:t>, o</w:t>
      </w:r>
    </w:p>
    <w:p w:rsidR="00D529C5" w:rsidRDefault="00D529C5" w:rsidP="00CA3594">
      <w:pPr>
        <w:numPr>
          <w:ilvl w:val="2"/>
          <w:numId w:val="30"/>
        </w:numPr>
        <w:spacing w:after="0" w:line="240" w:lineRule="auto"/>
        <w:ind w:left="1418" w:firstLine="283"/>
        <w:jc w:val="both"/>
        <w:rPr>
          <w:rFonts w:hAnsi="Calibri" w:cs="Calibri"/>
          <w:bCs/>
          <w:sz w:val="24"/>
          <w:szCs w:val="24"/>
          <w:lang w:val="es-ES"/>
        </w:rPr>
      </w:pPr>
      <w:r w:rsidRPr="0011267F">
        <w:rPr>
          <w:rFonts w:hAnsi="Calibri" w:cs="Calibri"/>
          <w:bCs/>
          <w:sz w:val="24"/>
          <w:szCs w:val="24"/>
          <w:lang w:val="es-ES"/>
        </w:rPr>
        <w:t>en jurisdicciones con Acuerd</w:t>
      </w:r>
      <w:r>
        <w:rPr>
          <w:rFonts w:hAnsi="Calibri" w:cs="Calibri"/>
          <w:bCs/>
          <w:sz w:val="24"/>
          <w:szCs w:val="24"/>
          <w:lang w:val="es-ES"/>
        </w:rPr>
        <w:t xml:space="preserve">o de Intercambio de Información </w:t>
      </w:r>
    </w:p>
    <w:p w:rsidR="00D529C5" w:rsidRPr="00CA3594" w:rsidRDefault="00D529C5" w:rsidP="00CA3594">
      <w:pPr>
        <w:spacing w:after="0" w:line="240" w:lineRule="auto"/>
        <w:jc w:val="both"/>
        <w:rPr>
          <w:rFonts w:hAnsi="Calibri" w:cs="Calibri"/>
          <w:bCs/>
          <w:sz w:val="24"/>
          <w:szCs w:val="24"/>
          <w:lang w:val="es-ES"/>
        </w:rPr>
      </w:pPr>
      <w:r w:rsidRPr="00CA3594">
        <w:rPr>
          <w:rFonts w:hAnsi="Calibri" w:cs="Calibri"/>
          <w:bCs/>
          <w:sz w:val="24"/>
          <w:szCs w:val="24"/>
          <w:lang w:val="es-ES"/>
        </w:rPr>
        <w:t>Internacional y que no aleguen secreto por normas internas</w:t>
      </w:r>
      <w:r w:rsidRPr="009D0689">
        <w:rPr>
          <w:rFonts w:hAnsi="Calibri" w:cs="Calibri"/>
          <w:bCs/>
          <w:sz w:val="24"/>
          <w:szCs w:val="24"/>
          <w:vertAlign w:val="superscript"/>
          <w:lang w:val="es-ES"/>
        </w:rPr>
        <w:footnoteReference w:id="149"/>
      </w:r>
      <w:r w:rsidRPr="00CA3594">
        <w:rPr>
          <w:rFonts w:hAnsi="Calibri" w:cs="Calibri"/>
          <w:bCs/>
          <w:sz w:val="24"/>
          <w:szCs w:val="24"/>
          <w:lang w:val="es-ES"/>
        </w:rPr>
        <w:t>.</w:t>
      </w:r>
    </w:p>
    <w:p w:rsidR="00D529C5" w:rsidRPr="00CA3594" w:rsidRDefault="00D529C5" w:rsidP="0011267F">
      <w:pPr>
        <w:spacing w:after="0" w:line="240" w:lineRule="auto"/>
        <w:jc w:val="both"/>
        <w:rPr>
          <w:rFonts w:hAnsi="Calibri" w:cs="Calibri"/>
          <w:bCs/>
          <w:sz w:val="24"/>
          <w:szCs w:val="24"/>
          <w:lang w:val="es-ES"/>
        </w:rPr>
      </w:pPr>
    </w:p>
    <w:p w:rsidR="00D529C5" w:rsidRPr="0011267F" w:rsidRDefault="00D529C5" w:rsidP="00CA3594">
      <w:pPr>
        <w:pStyle w:val="ListParagraph"/>
        <w:numPr>
          <w:ilvl w:val="1"/>
          <w:numId w:val="16"/>
        </w:numPr>
        <w:spacing w:after="0" w:line="240" w:lineRule="auto"/>
        <w:ind w:left="0" w:firstLine="567"/>
        <w:jc w:val="both"/>
        <w:rPr>
          <w:rFonts w:hAnsi="Calibri" w:cs="Calibri"/>
          <w:i/>
          <w:sz w:val="24"/>
          <w:szCs w:val="24"/>
          <w:lang w:val="es-ES"/>
        </w:rPr>
      </w:pPr>
      <w:r w:rsidRPr="0011267F">
        <w:rPr>
          <w:rFonts w:hAnsi="Calibri" w:cs="Calibri"/>
          <w:sz w:val="24"/>
          <w:szCs w:val="24"/>
          <w:lang w:val="es-ES"/>
        </w:rPr>
        <w:t xml:space="preserve">Apartado 2): Presunción de ganancia neta de fuente argentina del 100%: para los no comprendidos en el </w:t>
      </w:r>
      <w:r>
        <w:rPr>
          <w:rFonts w:hAnsi="Calibri" w:cs="Calibri"/>
          <w:sz w:val="24"/>
          <w:szCs w:val="24"/>
          <w:lang w:val="es-ES"/>
        </w:rPr>
        <w:t>A</w:t>
      </w:r>
      <w:r w:rsidRPr="0011267F">
        <w:rPr>
          <w:rFonts w:hAnsi="Calibri" w:cs="Calibri"/>
          <w:sz w:val="24"/>
          <w:szCs w:val="24"/>
          <w:lang w:val="es-ES"/>
        </w:rPr>
        <w:t>partado 1)</w:t>
      </w:r>
      <w:r w:rsidRPr="0011267F">
        <w:rPr>
          <w:rStyle w:val="FootnoteReference"/>
          <w:rFonts w:hAnsi="Calibri" w:cs="Calibri"/>
          <w:bCs/>
          <w:sz w:val="24"/>
          <w:szCs w:val="24"/>
          <w:lang w:val="es-ES"/>
        </w:rPr>
        <w:footnoteReference w:id="150"/>
      </w:r>
      <w:r w:rsidRPr="0011267F">
        <w:rPr>
          <w:rFonts w:hAnsi="Calibri" w:cs="Calibri"/>
          <w:bCs/>
          <w:sz w:val="24"/>
          <w:szCs w:val="24"/>
        </w:rPr>
        <w:t>.</w:t>
      </w:r>
    </w:p>
    <w:p w:rsidR="00D529C5" w:rsidRPr="0011267F" w:rsidRDefault="00D529C5" w:rsidP="0011267F">
      <w:pPr>
        <w:pStyle w:val="ListParagraph"/>
        <w:spacing w:after="0" w:line="240" w:lineRule="auto"/>
        <w:ind w:left="0"/>
        <w:jc w:val="both"/>
        <w:rPr>
          <w:rFonts w:hAnsi="Calibri" w:cs="Calibri"/>
          <w:sz w:val="24"/>
          <w:szCs w:val="24"/>
          <w:lang w:val="es-ES"/>
        </w:rPr>
      </w:pPr>
    </w:p>
    <w:p w:rsidR="00D529C5" w:rsidRPr="0011267F" w:rsidRDefault="00D529C5" w:rsidP="0011267F">
      <w:pPr>
        <w:pStyle w:val="ListParagraph"/>
        <w:numPr>
          <w:ilvl w:val="0"/>
          <w:numId w:val="16"/>
        </w:numPr>
        <w:tabs>
          <w:tab w:val="num" w:pos="1440"/>
        </w:tabs>
        <w:spacing w:after="0" w:line="240" w:lineRule="auto"/>
        <w:ind w:left="0" w:firstLine="0"/>
        <w:jc w:val="both"/>
        <w:rPr>
          <w:rFonts w:hAnsi="Calibri" w:cs="Calibri"/>
          <w:sz w:val="24"/>
          <w:szCs w:val="24"/>
          <w:lang w:val="es-ES"/>
        </w:rPr>
      </w:pPr>
      <w:r w:rsidRPr="0011267F">
        <w:rPr>
          <w:rFonts w:hAnsi="Calibri" w:cs="Calibri"/>
          <w:sz w:val="24"/>
          <w:szCs w:val="24"/>
          <w:lang w:val="es-ES"/>
        </w:rPr>
        <w:t>Disposiciones sobre capitalización exigua: límite a la deducción de intereses de deudas contraídas por sujetos del artículo 49 de la ley del tributo (salvo entidades financieras). La norma sólo aplica a los originados en los préstamos que se encuentren comprendidos en el artículo 93 c) apartado 1 y el acreedor sea una persona no residente que controla al deudor de acuerdo con las normas pertinentes</w:t>
      </w:r>
      <w:r>
        <w:rPr>
          <w:rFonts w:hAnsi="Calibri" w:cs="Calibri"/>
          <w:sz w:val="24"/>
          <w:szCs w:val="24"/>
          <w:lang w:val="es-ES"/>
        </w:rPr>
        <w:t xml:space="preserve"> </w:t>
      </w:r>
      <w:r w:rsidRPr="0011267F">
        <w:rPr>
          <w:rFonts w:hAnsi="Calibri" w:cs="Calibri"/>
          <w:sz w:val="24"/>
          <w:szCs w:val="24"/>
          <w:lang w:val="es-ES"/>
        </w:rPr>
        <w:t>sobre vinculación</w:t>
      </w:r>
      <w:r w:rsidRPr="0011267F">
        <w:rPr>
          <w:rStyle w:val="FootnoteReference"/>
          <w:rFonts w:hAnsi="Calibri" w:cs="Calibri"/>
          <w:bCs/>
          <w:sz w:val="24"/>
          <w:szCs w:val="24"/>
          <w:lang w:val="es-ES"/>
        </w:rPr>
        <w:footnoteReference w:id="151"/>
      </w:r>
      <w:r w:rsidRPr="0011267F">
        <w:rPr>
          <w:rFonts w:hAnsi="Calibri" w:cs="Calibri"/>
          <w:sz w:val="24"/>
          <w:szCs w:val="24"/>
          <w:lang w:val="es-ES"/>
        </w:rPr>
        <w:t>.</w:t>
      </w:r>
    </w:p>
    <w:p w:rsidR="00D529C5" w:rsidRPr="0011267F" w:rsidRDefault="00D529C5" w:rsidP="0011267F">
      <w:pPr>
        <w:pStyle w:val="ListParagraph"/>
        <w:spacing w:after="0" w:line="240" w:lineRule="auto"/>
        <w:ind w:left="0"/>
        <w:jc w:val="both"/>
        <w:rPr>
          <w:rFonts w:hAnsi="Calibri" w:cs="Calibri"/>
          <w:sz w:val="24"/>
          <w:szCs w:val="24"/>
          <w:lang w:val="es-ES"/>
        </w:rPr>
      </w:pPr>
    </w:p>
    <w:p w:rsidR="00D529C5" w:rsidRPr="0011267F" w:rsidRDefault="00D529C5" w:rsidP="0011267F">
      <w:pPr>
        <w:pStyle w:val="ListParagraph"/>
        <w:numPr>
          <w:ilvl w:val="0"/>
          <w:numId w:val="16"/>
        </w:numPr>
        <w:tabs>
          <w:tab w:val="num" w:pos="1440"/>
        </w:tabs>
        <w:spacing w:after="0" w:line="240" w:lineRule="auto"/>
        <w:ind w:left="0" w:firstLine="0"/>
        <w:jc w:val="both"/>
        <w:rPr>
          <w:rFonts w:hAnsi="Calibri" w:cs="Calibri"/>
          <w:sz w:val="24"/>
          <w:szCs w:val="24"/>
          <w:lang w:val="es-ES"/>
        </w:rPr>
      </w:pPr>
      <w:r w:rsidRPr="0011267F">
        <w:rPr>
          <w:rFonts w:hAnsi="Calibri" w:cs="Calibri"/>
          <w:sz w:val="24"/>
          <w:szCs w:val="24"/>
          <w:lang w:val="es-ES"/>
        </w:rPr>
        <w:t>Presunción de incremento patrimonial no justificado: cuando se trate de ingresos de fondos provenientes de países de baja o nula tributación -a que alude el artículo 15 de la Ley de Impuesto a las Ganancias (…) se considerará que tales fondos constituyen incrementos patrimoniales no justificados para el tomador o receptor local</w:t>
      </w:r>
      <w:r w:rsidRPr="0011267F">
        <w:rPr>
          <w:rStyle w:val="FootnoteReference"/>
          <w:rFonts w:hAnsi="Calibri" w:cs="Calibri"/>
          <w:bCs/>
          <w:sz w:val="24"/>
          <w:szCs w:val="24"/>
          <w:lang w:val="es-ES"/>
        </w:rPr>
        <w:footnoteReference w:id="152"/>
      </w:r>
      <w:r w:rsidRPr="0011267F">
        <w:rPr>
          <w:rFonts w:hAnsi="Calibri" w:cs="Calibri"/>
          <w:sz w:val="24"/>
          <w:szCs w:val="24"/>
          <w:lang w:val="es-ES"/>
        </w:rPr>
        <w:t>.</w:t>
      </w:r>
    </w:p>
    <w:p w:rsidR="00D529C5" w:rsidRPr="0011267F" w:rsidRDefault="00D529C5" w:rsidP="0011267F">
      <w:pPr>
        <w:spacing w:after="0" w:line="240" w:lineRule="auto"/>
        <w:jc w:val="both"/>
        <w:rPr>
          <w:rFonts w:hAnsi="Calibri" w:cs="Calibri"/>
          <w:b/>
          <w:sz w:val="24"/>
          <w:szCs w:val="24"/>
        </w:rPr>
      </w:pPr>
    </w:p>
    <w:p w:rsidR="00D529C5" w:rsidRPr="00D8193A" w:rsidRDefault="00D529C5" w:rsidP="00084B52">
      <w:pPr>
        <w:pStyle w:val="Heading2"/>
        <w:numPr>
          <w:ilvl w:val="1"/>
          <w:numId w:val="39"/>
        </w:numPr>
      </w:pPr>
      <w:bookmarkStart w:id="75" w:name="_Toc492313349"/>
      <w:r w:rsidRPr="00D8193A">
        <w:t>Cambio de paradigma</w:t>
      </w:r>
      <w:r w:rsidRPr="00084B52">
        <w:rPr>
          <w:vertAlign w:val="superscript"/>
        </w:rPr>
        <w:footnoteReference w:id="153"/>
      </w:r>
      <w:bookmarkEnd w:id="75"/>
    </w:p>
    <w:p w:rsidR="00D529C5" w:rsidRPr="0011267F" w:rsidRDefault="00D529C5" w:rsidP="0011267F">
      <w:pPr>
        <w:spacing w:after="0" w:line="240" w:lineRule="auto"/>
        <w:jc w:val="both"/>
        <w:rPr>
          <w:rFonts w:hAnsi="Calibri" w:cs="Calibri"/>
          <w:b/>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Recuérdese que en una primera instancia el Fisco reglamentó</w:t>
      </w:r>
      <w:r w:rsidRPr="00CA3594">
        <w:rPr>
          <w:rStyle w:val="FootnoteReference"/>
          <w:rFonts w:hAnsi="Calibri" w:cs="Calibri"/>
          <w:sz w:val="24"/>
          <w:szCs w:val="24"/>
        </w:rPr>
        <w:footnoteReference w:id="154"/>
      </w:r>
      <w:r w:rsidRPr="0011267F">
        <w:rPr>
          <w:rFonts w:hAnsi="Calibri" w:cs="Calibri"/>
          <w:sz w:val="24"/>
          <w:szCs w:val="24"/>
        </w:rPr>
        <w:t xml:space="preserve"> las condiciones para definir una jurisdicción de baja imposición fiscal haciendo foco en la nula o baja imposición fiscal efectiva que pudiere verificarse en una determinada jurisdicción respecto de las rentas de una persona física o jurídica o de determinadas actividades, en conjunción con algún otro requisito definido en la norma. Ese cualquier otro requisito se podía manifestar a través de la: </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[1]. Existencia de:</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1.1. Secreto bancario, financiero y/o bursátil;</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1.2. regímenes contables y regulatorios de la constitución y el funcionamiento de sociedades basados en la mera imposición de requisitos mínimos;</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1.3. un régimen tributario particular para no residentes que contemple beneficios o ventajas fiscales no extensibles a los residentes;</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1.4. un régimen de otorgamiento de privilegios o ventajas fiscales por parte de la administración fiscal del referido país de carácter discrecional; o</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2. Ausencia de:</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2.1. Un régimen de nominatividad de acciones;</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2.2. obligatoriedad de inscripción de sociedades en los registros pertinentes;</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2.3. autoridades de contralor societarios;</w:t>
      </w:r>
    </w:p>
    <w:p w:rsidR="00D529C5" w:rsidRPr="0011267F" w:rsidRDefault="00D529C5" w:rsidP="0011267F">
      <w:pPr>
        <w:spacing w:after="0" w:line="240" w:lineRule="auto"/>
        <w:jc w:val="both"/>
        <w:rPr>
          <w:rFonts w:hAnsi="Calibri" w:cs="Calibri"/>
          <w:i/>
          <w:sz w:val="24"/>
          <w:szCs w:val="24"/>
        </w:rPr>
      </w:pPr>
      <w:r w:rsidRPr="0011267F">
        <w:rPr>
          <w:rFonts w:hAnsi="Calibri" w:cs="Calibri"/>
          <w:i/>
          <w:sz w:val="24"/>
          <w:szCs w:val="24"/>
        </w:rPr>
        <w:t>2.4. retención de impuestos en la fuente, sobre los dividendos o intereses pagados a residentes del exterior].</w:t>
      </w:r>
    </w:p>
    <w:p w:rsidR="00D529C5" w:rsidRPr="0011267F" w:rsidRDefault="00D529C5" w:rsidP="0011267F">
      <w:pPr>
        <w:spacing w:after="0" w:line="240" w:lineRule="auto"/>
        <w:jc w:val="both"/>
        <w:rPr>
          <w:rFonts w:hAnsi="Calibri" w:cs="Calibri"/>
          <w: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Posteriormente, se estableció una lista de jurisdicciones que revestirían el carácter de baja o nula tributación</w:t>
      </w:r>
      <w:r w:rsidRPr="0011267F">
        <w:rPr>
          <w:rStyle w:val="FootnoteReference"/>
          <w:rFonts w:hAnsi="Calibri" w:cs="Calibri"/>
          <w:sz w:val="24"/>
          <w:szCs w:val="24"/>
        </w:rPr>
        <w:footnoteReference w:id="155"/>
      </w:r>
      <w:r w:rsidRPr="0011267F">
        <w:rPr>
          <w:rFonts w:hAnsi="Calibri" w:cs="Calibri"/>
          <w:sz w:val="24"/>
          <w:szCs w:val="24"/>
        </w:rPr>
        <w:t>.</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bCs/>
          <w:sz w:val="24"/>
          <w:szCs w:val="24"/>
          <w:lang w:val="es-ES"/>
        </w:rPr>
      </w:pPr>
      <w:r w:rsidRPr="0011267F">
        <w:rPr>
          <w:rFonts w:hAnsi="Calibri" w:cs="Calibri"/>
          <w:sz w:val="24"/>
          <w:szCs w:val="24"/>
          <w:lang w:val="es-ES"/>
        </w:rPr>
        <w:t>Actualmente, se encuentra vigente el Decreto N 589/2013</w:t>
      </w:r>
      <w:r w:rsidRPr="0011267F">
        <w:rPr>
          <w:rStyle w:val="FootnoteReference"/>
          <w:rFonts w:hAnsi="Calibri" w:cs="Calibri"/>
          <w:sz w:val="24"/>
          <w:szCs w:val="24"/>
          <w:lang w:val="es-ES"/>
        </w:rPr>
        <w:footnoteReference w:id="156"/>
      </w:r>
      <w:r w:rsidRPr="0011267F">
        <w:rPr>
          <w:rFonts w:hAnsi="Calibri" w:cs="Calibri"/>
          <w:sz w:val="24"/>
          <w:szCs w:val="24"/>
          <w:lang w:val="es-ES"/>
        </w:rPr>
        <w:t xml:space="preserve"> a través del cual se eliminó la lista aludida. Se cambi</w:t>
      </w:r>
      <w:r>
        <w:rPr>
          <w:rFonts w:hAnsi="Calibri" w:cs="Calibri"/>
          <w:sz w:val="24"/>
          <w:szCs w:val="24"/>
          <w:lang w:val="es-ES"/>
        </w:rPr>
        <w:t>ó</w:t>
      </w:r>
      <w:r w:rsidRPr="0011267F">
        <w:rPr>
          <w:rFonts w:hAnsi="Calibri" w:cs="Calibri"/>
          <w:sz w:val="24"/>
          <w:szCs w:val="24"/>
          <w:lang w:val="es-ES"/>
        </w:rPr>
        <w:t xml:space="preserve"> la terminología de denominación, no hablándose ya de “países de baja o nula tributación” sino que se invierte el enfoque y se define a países</w:t>
      </w:r>
      <w:r w:rsidRPr="0011267F">
        <w:rPr>
          <w:rFonts w:hAnsi="Calibri" w:cs="Calibri"/>
          <w:bCs/>
          <w:sz w:val="24"/>
          <w:szCs w:val="24"/>
          <w:lang w:val="es-ES"/>
        </w:rPr>
        <w:t xml:space="preserve"> considerados “cooperadores </w:t>
      </w:r>
      <w:r w:rsidRPr="0011267F">
        <w:rPr>
          <w:rFonts w:hAnsi="Calibri" w:cs="Calibri"/>
          <w:sz w:val="24"/>
          <w:szCs w:val="24"/>
          <w:lang w:val="es-ES"/>
        </w:rPr>
        <w:t xml:space="preserve">a los fines de la transparencia fiscal”. Estos serán los países, dominios, jurisdicciones, territorios, estados asociados o regímenes tributarios especiales que suscribieron con nuestro país un Acuerdo de Intercambio de Información Internacional, o un Convenio para Evitar la Doble Imposición </w:t>
      </w:r>
      <w:r w:rsidRPr="0011267F">
        <w:rPr>
          <w:rFonts w:hAnsi="Calibri" w:cs="Calibri"/>
          <w:bCs/>
          <w:sz w:val="24"/>
          <w:szCs w:val="24"/>
          <w:lang w:val="es-ES"/>
        </w:rPr>
        <w:t>con cláusula de intercambio de información amplia.</w:t>
      </w:r>
    </w:p>
    <w:p w:rsidR="00D529C5" w:rsidRPr="0011267F" w:rsidRDefault="00D529C5" w:rsidP="0011267F">
      <w:pPr>
        <w:tabs>
          <w:tab w:val="num" w:pos="720"/>
        </w:tabs>
        <w:spacing w:after="0" w:line="240" w:lineRule="auto"/>
        <w:jc w:val="both"/>
        <w:rPr>
          <w:rFonts w:hAnsi="Calibri" w:cs="Calibri"/>
          <w:sz w:val="24"/>
          <w:szCs w:val="24"/>
          <w:lang w:val="es-ES"/>
        </w:rPr>
      </w:pPr>
    </w:p>
    <w:p w:rsidR="00D529C5" w:rsidRPr="0011267F" w:rsidRDefault="00D529C5" w:rsidP="0011267F">
      <w:pPr>
        <w:tabs>
          <w:tab w:val="num" w:pos="720"/>
        </w:tabs>
        <w:spacing w:after="0" w:line="240" w:lineRule="auto"/>
        <w:jc w:val="both"/>
        <w:rPr>
          <w:rFonts w:hAnsi="Calibri" w:cs="Calibri"/>
          <w:sz w:val="24"/>
          <w:szCs w:val="24"/>
        </w:rPr>
      </w:pPr>
      <w:r w:rsidRPr="0011267F">
        <w:rPr>
          <w:rFonts w:hAnsi="Calibri" w:cs="Calibri"/>
          <w:sz w:val="24"/>
          <w:szCs w:val="24"/>
          <w:lang w:val="es-ES"/>
        </w:rPr>
        <w:t xml:space="preserve">Para mantener la condición de “cooperador”, el país de que se trate deberá cumplir con el </w:t>
      </w:r>
      <w:r w:rsidRPr="0011267F">
        <w:rPr>
          <w:rFonts w:hAnsi="Calibri" w:cs="Calibri"/>
          <w:bCs/>
          <w:sz w:val="24"/>
          <w:szCs w:val="24"/>
          <w:lang w:val="es-ES"/>
        </w:rPr>
        <w:t xml:space="preserve">efectivo intercambio </w:t>
      </w:r>
      <w:r w:rsidRPr="0011267F">
        <w:rPr>
          <w:rFonts w:hAnsi="Calibri" w:cs="Calibri"/>
          <w:sz w:val="24"/>
          <w:szCs w:val="24"/>
          <w:lang w:val="es-ES"/>
        </w:rPr>
        <w:t>de información; facultándose a la Administración Fiscal a reglamentar los supuestos alcanzados y a realizar un análisis y evaluación de</w:t>
      </w:r>
      <w:r>
        <w:rPr>
          <w:rFonts w:hAnsi="Calibri" w:cs="Calibri"/>
          <w:sz w:val="24"/>
          <w:szCs w:val="24"/>
          <w:lang w:val="es-ES"/>
        </w:rPr>
        <w:t>l</w:t>
      </w:r>
      <w:r w:rsidRPr="0011267F">
        <w:rPr>
          <w:rFonts w:hAnsi="Calibri" w:cs="Calibri"/>
          <w:sz w:val="24"/>
          <w:szCs w:val="24"/>
          <w:lang w:val="es-ES"/>
        </w:rPr>
        <w:t xml:space="preserve"> cumplimiento. Además, el Acuerdo o Convenio </w:t>
      </w:r>
      <w:r>
        <w:rPr>
          <w:rFonts w:hAnsi="Calibri" w:cs="Calibri"/>
          <w:sz w:val="24"/>
          <w:szCs w:val="24"/>
          <w:lang w:val="es-ES"/>
        </w:rPr>
        <w:t xml:space="preserve">aludidos deberá </w:t>
      </w:r>
      <w:r w:rsidRPr="0011267F">
        <w:rPr>
          <w:rFonts w:hAnsi="Calibri" w:cs="Calibri"/>
          <w:sz w:val="24"/>
          <w:szCs w:val="24"/>
          <w:lang w:val="es-ES"/>
        </w:rPr>
        <w:t>cumpl</w:t>
      </w:r>
      <w:r>
        <w:rPr>
          <w:rFonts w:hAnsi="Calibri" w:cs="Calibri"/>
          <w:sz w:val="24"/>
          <w:szCs w:val="24"/>
          <w:lang w:val="es-ES"/>
        </w:rPr>
        <w:t xml:space="preserve">ir </w:t>
      </w:r>
      <w:r w:rsidRPr="0011267F">
        <w:rPr>
          <w:rFonts w:hAnsi="Calibri" w:cs="Calibri"/>
          <w:sz w:val="24"/>
          <w:szCs w:val="24"/>
          <w:lang w:val="es-ES"/>
        </w:rPr>
        <w:t>´</w:t>
      </w:r>
      <w:r w:rsidRPr="0011267F">
        <w:rPr>
          <w:rFonts w:hAnsi="Calibri" w:cs="Calibri"/>
          <w:i/>
          <w:iCs/>
          <w:sz w:val="24"/>
          <w:szCs w:val="24"/>
          <w:lang w:val="es-ES"/>
        </w:rPr>
        <w:t xml:space="preserve">en lo posible´ </w:t>
      </w:r>
      <w:r w:rsidRPr="0011267F">
        <w:rPr>
          <w:rFonts w:hAnsi="Calibri" w:cs="Calibri"/>
          <w:sz w:val="24"/>
          <w:szCs w:val="24"/>
          <w:lang w:val="es-ES"/>
        </w:rPr>
        <w:t xml:space="preserve">con los estándares internacionales de transparencia adoptados por el Foro Global sobre Transparencia e Intercambio de Información en Materia Fiscal, resaltándose en ese sentido </w:t>
      </w:r>
      <w:r w:rsidRPr="0011267F">
        <w:rPr>
          <w:rFonts w:hAnsi="Calibri" w:cs="Calibri"/>
          <w:i/>
          <w:sz w:val="24"/>
          <w:szCs w:val="24"/>
          <w:lang w:val="es-ES"/>
        </w:rPr>
        <w:t>[</w:t>
      </w:r>
      <w:r w:rsidRPr="0011267F">
        <w:rPr>
          <w:rFonts w:hAnsi="Calibri" w:cs="Calibri"/>
          <w:i/>
          <w:iCs/>
          <w:sz w:val="24"/>
          <w:szCs w:val="24"/>
          <w:lang w:val="es-ES"/>
        </w:rPr>
        <w:t>…] de forma tal que por aplicación de las normas internas…</w:t>
      </w:r>
      <w:r w:rsidRPr="0011267F">
        <w:rPr>
          <w:rFonts w:hAnsi="Calibri" w:cs="Calibri"/>
          <w:bCs/>
          <w:i/>
          <w:iCs/>
          <w:sz w:val="24"/>
          <w:szCs w:val="24"/>
          <w:lang w:val="es-ES"/>
        </w:rPr>
        <w:t>no pueda alegarse</w:t>
      </w:r>
      <w:r w:rsidRPr="0011267F">
        <w:rPr>
          <w:rFonts w:hAnsi="Calibri" w:cs="Calibri"/>
          <w:i/>
          <w:iCs/>
          <w:sz w:val="24"/>
          <w:szCs w:val="24"/>
          <w:lang w:val="es-ES"/>
        </w:rPr>
        <w:t xml:space="preserve"> </w:t>
      </w:r>
      <w:r w:rsidRPr="0011267F">
        <w:rPr>
          <w:rFonts w:hAnsi="Calibri" w:cs="Calibri"/>
          <w:bCs/>
          <w:i/>
          <w:iCs/>
          <w:sz w:val="24"/>
          <w:szCs w:val="24"/>
          <w:lang w:val="es-ES"/>
        </w:rPr>
        <w:t>secreto bancario, bursátil o de otro tipo</w:t>
      </w:r>
      <w:r w:rsidRPr="0011267F">
        <w:rPr>
          <w:rFonts w:hAnsi="Calibri" w:cs="Calibri"/>
          <w:i/>
          <w:iCs/>
          <w:sz w:val="24"/>
          <w:szCs w:val="24"/>
          <w:lang w:val="es-ES"/>
        </w:rPr>
        <w:t>, ante pedidos concretos de información…]</w:t>
      </w:r>
      <w:r>
        <w:rPr>
          <w:rStyle w:val="FootnoteReference"/>
          <w:rFonts w:hAnsi="Calibri" w:cs="Calibri"/>
          <w:i/>
          <w:iCs/>
          <w:sz w:val="24"/>
          <w:szCs w:val="24"/>
          <w:lang w:val="es-ES"/>
        </w:rPr>
        <w:footnoteReference w:id="157"/>
      </w:r>
      <w:r w:rsidRPr="0011267F">
        <w:rPr>
          <w:rFonts w:hAnsi="Calibri" w:cs="Calibri"/>
          <w:i/>
          <w:sz w:val="24"/>
          <w:szCs w:val="24"/>
          <w:lang w:val="es-ES"/>
        </w:rPr>
        <w:t>.</w:t>
      </w:r>
      <w:r w:rsidRPr="0011267F">
        <w:rPr>
          <w:rFonts w:hAnsi="Calibri" w:cs="Calibri"/>
          <w:sz w:val="24"/>
          <w:szCs w:val="24"/>
        </w:rPr>
        <w:t xml:space="preserve"> Asimismo, s</w:t>
      </w:r>
      <w:r w:rsidRPr="0011267F">
        <w:rPr>
          <w:rFonts w:hAnsi="Calibri" w:cs="Calibri"/>
          <w:sz w:val="24"/>
          <w:szCs w:val="24"/>
          <w:lang w:val="es-ES"/>
        </w:rPr>
        <w:t>e reconoce la calidad de cooperador si se iniciaron las negociaciones para suscribir estos Acuerdos, facultándose al Organismo Fiscal a reglamentar ´las condiciones necesarias´ para el inicio de las negociaciones.</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tabs>
          <w:tab w:val="num" w:pos="1440"/>
        </w:tabs>
        <w:spacing w:after="0" w:line="240" w:lineRule="auto"/>
        <w:jc w:val="both"/>
        <w:rPr>
          <w:rFonts w:hAnsi="Calibri" w:cs="Calibri"/>
          <w:sz w:val="24"/>
          <w:szCs w:val="24"/>
          <w:lang w:val="es-ES"/>
        </w:rPr>
      </w:pPr>
      <w:r w:rsidRPr="0011267F">
        <w:rPr>
          <w:rFonts w:hAnsi="Calibri" w:cs="Calibri"/>
          <w:sz w:val="24"/>
          <w:szCs w:val="24"/>
          <w:lang w:val="es-ES"/>
        </w:rPr>
        <w:t>Finalmente, se establece que un país puede perder la calidad de “cooperador” si se denuncia el Acuerdo o Convenio aludidos en párrafos precedentes, o deja de tener aplicación por cualquier causal de nulidad o terminación, o se verifica la falta de intercambio efectivo de información.</w:t>
      </w:r>
    </w:p>
    <w:p w:rsidR="00D529C5" w:rsidRPr="0011267F" w:rsidRDefault="00D529C5" w:rsidP="0011267F">
      <w:pPr>
        <w:tabs>
          <w:tab w:val="num" w:pos="1440"/>
        </w:tabs>
        <w:spacing w:after="0" w:line="240" w:lineRule="auto"/>
        <w:jc w:val="both"/>
        <w:rPr>
          <w:rFonts w:hAnsi="Calibri" w:cs="Calibri"/>
          <w:sz w:val="24"/>
          <w:szCs w:val="24"/>
          <w:lang w:val="es-ES"/>
        </w:rPr>
      </w:pPr>
    </w:p>
    <w:p w:rsidR="00D529C5" w:rsidRPr="0011267F" w:rsidRDefault="00D529C5" w:rsidP="0011267F">
      <w:pPr>
        <w:tabs>
          <w:tab w:val="num" w:pos="1440"/>
        </w:tabs>
        <w:spacing w:after="0" w:line="240" w:lineRule="auto"/>
        <w:jc w:val="both"/>
        <w:rPr>
          <w:rFonts w:hAnsi="Calibri" w:cs="Calibri"/>
          <w:sz w:val="24"/>
          <w:szCs w:val="24"/>
        </w:rPr>
      </w:pPr>
      <w:r w:rsidRPr="0011267F">
        <w:rPr>
          <w:rFonts w:hAnsi="Calibri" w:cs="Calibri"/>
          <w:sz w:val="24"/>
          <w:szCs w:val="24"/>
          <w:lang w:val="es-ES"/>
        </w:rPr>
        <w:t xml:space="preserve">En atención a las facultades delegadas por el Decreto citado la Administración Federal emitió el listado de jurisdicciones cooperantes, que publica en su página web. Dicho listado será actualizado en virtud de las pautas estipuladas en el Decreto mencionado. </w:t>
      </w:r>
    </w:p>
    <w:p w:rsidR="00D529C5" w:rsidRPr="0011267F" w:rsidRDefault="00D529C5" w:rsidP="0011267F">
      <w:pPr>
        <w:tabs>
          <w:tab w:val="num" w:pos="1440"/>
        </w:tabs>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Por otra parte, la OECD/G20 propuso “criterios objetivos” para determinar los estándares internacionales sobre transparencia fiscal.</w:t>
      </w:r>
    </w:p>
    <w:p w:rsidR="00D529C5" w:rsidRPr="0011267F"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Estos criterios objetivos se refieren a tres importantes pilares:</w:t>
      </w:r>
    </w:p>
    <w:p w:rsidR="00D529C5" w:rsidRPr="0011267F" w:rsidRDefault="00D529C5" w:rsidP="0011267F">
      <w:pPr>
        <w:spacing w:after="0" w:line="240" w:lineRule="auto"/>
        <w:jc w:val="both"/>
        <w:rPr>
          <w:rFonts w:hAnsi="Calibri" w:cs="Calibri"/>
          <w:sz w:val="24"/>
          <w:szCs w:val="24"/>
        </w:rPr>
      </w:pPr>
    </w:p>
    <w:p w:rsidR="00D529C5" w:rsidRPr="0011267F" w:rsidRDefault="00D529C5" w:rsidP="00CA3594">
      <w:pPr>
        <w:pStyle w:val="ListParagraph"/>
        <w:numPr>
          <w:ilvl w:val="0"/>
          <w:numId w:val="8"/>
        </w:numPr>
        <w:spacing w:after="0" w:line="240" w:lineRule="auto"/>
        <w:ind w:left="0" w:firstLine="0"/>
        <w:jc w:val="both"/>
        <w:rPr>
          <w:rFonts w:hAnsi="Calibri" w:cs="Calibri"/>
          <w:sz w:val="24"/>
          <w:szCs w:val="24"/>
        </w:rPr>
      </w:pPr>
      <w:r w:rsidRPr="0011267F">
        <w:rPr>
          <w:rFonts w:hAnsi="Calibri" w:cs="Calibri"/>
          <w:sz w:val="24"/>
          <w:szCs w:val="24"/>
        </w:rPr>
        <w:t>la implementación del estándar de intercambio de información a requerimiento (EOIR, por sus siglas en inglés),</w:t>
      </w:r>
    </w:p>
    <w:p w:rsidR="00D529C5" w:rsidRPr="0011267F" w:rsidRDefault="00D529C5" w:rsidP="00CA3594">
      <w:pPr>
        <w:pStyle w:val="ListParagraph"/>
        <w:numPr>
          <w:ilvl w:val="0"/>
          <w:numId w:val="8"/>
        </w:numPr>
        <w:spacing w:after="0" w:line="240" w:lineRule="auto"/>
        <w:ind w:left="0" w:firstLine="0"/>
        <w:jc w:val="both"/>
        <w:rPr>
          <w:rFonts w:hAnsi="Calibri" w:cs="Calibri"/>
          <w:sz w:val="24"/>
          <w:szCs w:val="24"/>
        </w:rPr>
      </w:pPr>
      <w:r w:rsidRPr="0011267F">
        <w:rPr>
          <w:rFonts w:hAnsi="Calibri" w:cs="Calibri"/>
          <w:sz w:val="24"/>
          <w:szCs w:val="24"/>
        </w:rPr>
        <w:t>la implementación del CRS para el intercambio automático de información (AEOI, por sus siglas en inglés), y</w:t>
      </w:r>
    </w:p>
    <w:p w:rsidR="00D529C5" w:rsidRPr="0011267F" w:rsidRDefault="00D529C5" w:rsidP="00CA3594">
      <w:pPr>
        <w:pStyle w:val="ListParagraph"/>
        <w:numPr>
          <w:ilvl w:val="0"/>
          <w:numId w:val="8"/>
        </w:numPr>
        <w:spacing w:after="0" w:line="240" w:lineRule="auto"/>
        <w:ind w:left="0" w:firstLine="0"/>
        <w:jc w:val="both"/>
        <w:rPr>
          <w:rFonts w:hAnsi="Calibri" w:cs="Calibri"/>
          <w:sz w:val="24"/>
          <w:szCs w:val="24"/>
        </w:rPr>
      </w:pPr>
      <w:r w:rsidRPr="0011267F">
        <w:rPr>
          <w:rFonts w:hAnsi="Calibri" w:cs="Calibri"/>
          <w:sz w:val="24"/>
          <w:szCs w:val="24"/>
        </w:rPr>
        <w:t>la adhesión a la Convención Multilateral sobre Asistencia Mutua en Materia Fiscal.</w:t>
      </w:r>
    </w:p>
    <w:p w:rsidR="00D529C5" w:rsidRPr="0011267F" w:rsidRDefault="00D529C5" w:rsidP="0011267F">
      <w:pPr>
        <w:spacing w:after="0" w:line="240" w:lineRule="auto"/>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Para cada uno de los criterios la OECD/G20 acordaron que las jurisdicciones necesitaban al menos cumplir con dos de tres indicadores. Estos indicadores son:</w:t>
      </w:r>
    </w:p>
    <w:p w:rsidR="00D529C5" w:rsidRPr="0011267F" w:rsidRDefault="00D529C5" w:rsidP="0011267F">
      <w:pPr>
        <w:spacing w:after="0" w:line="240" w:lineRule="auto"/>
        <w:jc w:val="both"/>
        <w:rPr>
          <w:rFonts w:hAnsi="Calibri" w:cs="Calibri"/>
          <w:sz w:val="24"/>
          <w:szCs w:val="24"/>
        </w:rPr>
      </w:pPr>
    </w:p>
    <w:p w:rsidR="00D529C5" w:rsidRPr="0011267F" w:rsidRDefault="00D529C5" w:rsidP="00CA3594">
      <w:pPr>
        <w:pStyle w:val="ListParagraph"/>
        <w:numPr>
          <w:ilvl w:val="0"/>
          <w:numId w:val="9"/>
        </w:numPr>
        <w:spacing w:after="0" w:line="240" w:lineRule="auto"/>
        <w:ind w:left="0" w:firstLine="0"/>
        <w:jc w:val="both"/>
        <w:rPr>
          <w:rFonts w:hAnsi="Calibri" w:cs="Calibri"/>
          <w:sz w:val="24"/>
          <w:szCs w:val="24"/>
        </w:rPr>
      </w:pPr>
      <w:r w:rsidRPr="0011267F">
        <w:rPr>
          <w:rFonts w:hAnsi="Calibri" w:cs="Calibri"/>
          <w:sz w:val="24"/>
          <w:szCs w:val="24"/>
        </w:rPr>
        <w:t>calificación de “sustancialmente cumplidora” con respecto al estándar EOIR ;</w:t>
      </w:r>
    </w:p>
    <w:p w:rsidR="00D529C5" w:rsidRPr="0011267F" w:rsidRDefault="00D529C5" w:rsidP="00CA3594">
      <w:pPr>
        <w:pStyle w:val="ListParagraph"/>
        <w:numPr>
          <w:ilvl w:val="0"/>
          <w:numId w:val="9"/>
        </w:numPr>
        <w:spacing w:after="0" w:line="240" w:lineRule="auto"/>
        <w:ind w:left="0" w:firstLine="0"/>
        <w:jc w:val="both"/>
        <w:rPr>
          <w:rFonts w:hAnsi="Calibri" w:cs="Calibri"/>
          <w:sz w:val="24"/>
          <w:szCs w:val="24"/>
        </w:rPr>
      </w:pPr>
      <w:r w:rsidRPr="0011267F">
        <w:rPr>
          <w:rFonts w:hAnsi="Calibri" w:cs="Calibri"/>
          <w:sz w:val="24"/>
          <w:szCs w:val="24"/>
        </w:rPr>
        <w:t xml:space="preserve">compromiso de implementar el CRS del AEOI, con los primeros intercambios a más tardar en 2018 (con respecto al año 2017); y </w:t>
      </w:r>
    </w:p>
    <w:p w:rsidR="00D529C5" w:rsidRPr="0011267F" w:rsidRDefault="00D529C5" w:rsidP="00CA3594">
      <w:pPr>
        <w:pStyle w:val="ListParagraph"/>
        <w:numPr>
          <w:ilvl w:val="0"/>
          <w:numId w:val="9"/>
        </w:numPr>
        <w:spacing w:after="0" w:line="240" w:lineRule="auto"/>
        <w:ind w:left="0" w:firstLine="0"/>
        <w:jc w:val="both"/>
        <w:rPr>
          <w:rFonts w:hAnsi="Calibri" w:cs="Calibri"/>
          <w:sz w:val="24"/>
          <w:szCs w:val="24"/>
        </w:rPr>
      </w:pPr>
      <w:r w:rsidRPr="0011267F">
        <w:rPr>
          <w:rFonts w:hAnsi="Calibri" w:cs="Calibri"/>
          <w:sz w:val="24"/>
          <w:szCs w:val="24"/>
        </w:rPr>
        <w:t>participación en la Convención Multilateral o en una red de intercambio lo suficientemente amplia que permita tanto el intercambio de información a requerimiento, como el intercambio de información automático.</w:t>
      </w:r>
    </w:p>
    <w:p w:rsidR="00D529C5" w:rsidRPr="0011267F" w:rsidRDefault="00D529C5" w:rsidP="0011267F">
      <w:pPr>
        <w:pStyle w:val="ListParagraph"/>
        <w:spacing w:after="0" w:line="240" w:lineRule="auto"/>
        <w:ind w:left="0"/>
        <w:jc w:val="both"/>
        <w:rPr>
          <w:rFonts w:hAnsi="Calibri" w:cs="Calibri"/>
          <w:sz w:val="24"/>
          <w:szCs w:val="24"/>
        </w:rPr>
      </w:pPr>
    </w:p>
    <w:p w:rsidR="00D529C5" w:rsidRPr="0011267F" w:rsidRDefault="00D529C5" w:rsidP="0011267F">
      <w:pPr>
        <w:spacing w:after="0" w:line="240" w:lineRule="auto"/>
        <w:jc w:val="both"/>
        <w:rPr>
          <w:rFonts w:hAnsi="Calibri" w:cs="Calibri"/>
          <w:sz w:val="24"/>
          <w:szCs w:val="24"/>
        </w:rPr>
      </w:pPr>
      <w:r w:rsidRPr="0011267F">
        <w:rPr>
          <w:rFonts w:hAnsi="Calibri" w:cs="Calibri"/>
          <w:sz w:val="24"/>
          <w:szCs w:val="24"/>
        </w:rPr>
        <w:t>Además, hubo acuerdo en dejar de lado el criterio según el cual una jurisdicción era listada aún si cumplía al menos dos de los otros criterios. Principalmente, el caso en el que a una jurisdicción en el proceso de revisión de pares del foro global se la califica como “Incumplidora”, o es bloqueada de moverse de la FASE 1, o cuando fue previamente bloqueada de moverse de la Fase 1 y no ha recibido todavía una clasificación global bajo la Fase 2.</w:t>
      </w:r>
    </w:p>
    <w:p w:rsidR="00D529C5" w:rsidRPr="0011267F"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Finalmente, de permanecer</w:t>
      </w:r>
      <w:r w:rsidRPr="007F7D71">
        <w:rPr>
          <w:rFonts w:hAnsi="Calibri" w:cs="Calibri"/>
          <w:sz w:val="24"/>
          <w:szCs w:val="24"/>
        </w:rPr>
        <w:t xml:space="preserve"> </w:t>
      </w:r>
      <w:r w:rsidRPr="0011267F">
        <w:rPr>
          <w:rFonts w:hAnsi="Calibri" w:cs="Calibri"/>
          <w:sz w:val="24"/>
          <w:szCs w:val="24"/>
        </w:rPr>
        <w:t>en nuestra legislación las normas</w:t>
      </w:r>
      <w:r>
        <w:rPr>
          <w:rFonts w:hAnsi="Calibri" w:cs="Calibri"/>
          <w:sz w:val="24"/>
          <w:szCs w:val="24"/>
        </w:rPr>
        <w:t xml:space="preserve"> descriptas</w:t>
      </w:r>
      <w:r w:rsidRPr="0011267F">
        <w:rPr>
          <w:rFonts w:hAnsi="Calibri" w:cs="Calibri"/>
          <w:sz w:val="24"/>
          <w:szCs w:val="24"/>
        </w:rPr>
        <w:t xml:space="preserve"> impactadas por la definición de “no cooperante”, estimamos necesario reformular el conce</w:t>
      </w:r>
      <w:r>
        <w:rPr>
          <w:rFonts w:hAnsi="Calibri" w:cs="Calibri"/>
          <w:sz w:val="24"/>
          <w:szCs w:val="24"/>
        </w:rPr>
        <w:t>pto de jurisdicción cooperante.</w:t>
      </w:r>
    </w:p>
    <w:p w:rsidR="00D529C5"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11267F">
        <w:rPr>
          <w:rFonts w:hAnsi="Calibri" w:cs="Calibri"/>
          <w:sz w:val="24"/>
          <w:szCs w:val="24"/>
        </w:rPr>
        <w:t xml:space="preserve">La propuesta es adoptar el nuevo estándar internacional que se describió en párrafos </w:t>
      </w:r>
      <w:r>
        <w:rPr>
          <w:rFonts w:hAnsi="Calibri" w:cs="Calibri"/>
          <w:sz w:val="24"/>
          <w:szCs w:val="24"/>
        </w:rPr>
        <w:t>que anteceden</w:t>
      </w:r>
      <w:r w:rsidRPr="0011267F">
        <w:rPr>
          <w:rFonts w:hAnsi="Calibri" w:cs="Calibri"/>
          <w:sz w:val="24"/>
          <w:szCs w:val="24"/>
        </w:rPr>
        <w:t xml:space="preserve"> incorporando además en particular normas referidas a la efectiva tributación en las jurisdicciones involucradas</w:t>
      </w:r>
      <w:r>
        <w:rPr>
          <w:rFonts w:hAnsi="Calibri" w:cs="Calibri"/>
          <w:sz w:val="24"/>
          <w:szCs w:val="24"/>
        </w:rPr>
        <w:t xml:space="preserve"> -recuérdese que, este aspecto no fue motivo de evaluación por los Organismo Internacionales citados en párrafos precedentes-. Deben tenerse presente, también las legislaciones de la región en la materia, que como ejemplo se han traído al presente documento.</w:t>
      </w:r>
    </w:p>
    <w:p w:rsidR="00D529C5"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Pr>
          <w:rFonts w:hAnsi="Calibri" w:cs="Calibri"/>
          <w:sz w:val="24"/>
          <w:szCs w:val="24"/>
        </w:rPr>
        <w:t>S</w:t>
      </w:r>
      <w:r w:rsidRPr="0011267F">
        <w:rPr>
          <w:rFonts w:hAnsi="Calibri" w:cs="Calibri"/>
          <w:sz w:val="24"/>
          <w:szCs w:val="24"/>
        </w:rPr>
        <w:t>i bien</w:t>
      </w:r>
      <w:r>
        <w:rPr>
          <w:rFonts w:hAnsi="Calibri" w:cs="Calibri"/>
          <w:sz w:val="24"/>
          <w:szCs w:val="24"/>
        </w:rPr>
        <w:t>,</w:t>
      </w:r>
      <w:r w:rsidRPr="0011267F">
        <w:rPr>
          <w:rFonts w:hAnsi="Calibri" w:cs="Calibri"/>
          <w:sz w:val="24"/>
          <w:szCs w:val="24"/>
        </w:rPr>
        <w:t xml:space="preserve"> el criterio definicional vigente hace prevalecer el intercambio de información efectivo, no se puede dejar de reconocer que existen jurisdicciones que son de baja o nula tributación y por el solo hecho de haber acordado un instrumento internacional en materia de intercambio de información revisten el carácter de cooperadores. </w:t>
      </w:r>
    </w:p>
    <w:p w:rsidR="00D529C5" w:rsidRDefault="00D529C5" w:rsidP="0011267F">
      <w:pPr>
        <w:spacing w:after="0" w:line="240" w:lineRule="auto"/>
        <w:jc w:val="both"/>
        <w:rPr>
          <w:rFonts w:hAnsi="Calibri" w:cs="Calibri"/>
          <w:sz w:val="24"/>
          <w:szCs w:val="24"/>
        </w:rPr>
      </w:pPr>
    </w:p>
    <w:p w:rsidR="00D529C5" w:rsidRPr="00CA3594" w:rsidRDefault="00D529C5" w:rsidP="0011267F">
      <w:pPr>
        <w:spacing w:after="0" w:line="240" w:lineRule="auto"/>
        <w:jc w:val="both"/>
        <w:rPr>
          <w:rFonts w:hAnsi="Calibri" w:cs="Calibri"/>
          <w:sz w:val="24"/>
          <w:szCs w:val="24"/>
        </w:rPr>
      </w:pPr>
      <w:r w:rsidRPr="0011267F">
        <w:rPr>
          <w:rFonts w:hAnsi="Calibri" w:cs="Calibri"/>
          <w:sz w:val="24"/>
          <w:szCs w:val="24"/>
        </w:rPr>
        <w:t>Debería ser un requisito para tener en cuenta</w:t>
      </w:r>
      <w:r>
        <w:rPr>
          <w:rFonts w:hAnsi="Calibri" w:cs="Calibri"/>
          <w:sz w:val="24"/>
          <w:szCs w:val="24"/>
        </w:rPr>
        <w:t>,</w:t>
      </w:r>
      <w:r w:rsidRPr="0011267F">
        <w:rPr>
          <w:rFonts w:hAnsi="Calibri" w:cs="Calibri"/>
          <w:sz w:val="24"/>
          <w:szCs w:val="24"/>
        </w:rPr>
        <w:t xml:space="preserve"> el sistema tributario imperante en la jurisdicción extranjera. </w:t>
      </w:r>
      <w:r w:rsidRPr="00CA3594">
        <w:rPr>
          <w:rFonts w:hAnsi="Calibri" w:cs="Calibri"/>
          <w:sz w:val="24"/>
          <w:szCs w:val="24"/>
        </w:rPr>
        <w:t>Caso contrario, las situaciones descriptas conspirarían contra el más elemental principio de equidad en materia fiscal.</w:t>
      </w:r>
    </w:p>
    <w:p w:rsidR="00D529C5" w:rsidRDefault="00D529C5" w:rsidP="0011267F">
      <w:pPr>
        <w:spacing w:after="0" w:line="240" w:lineRule="auto"/>
        <w:jc w:val="both"/>
        <w:rPr>
          <w:rFonts w:hAnsi="Calibri" w:cs="Calibri"/>
          <w:sz w:val="24"/>
          <w:szCs w:val="24"/>
        </w:rPr>
      </w:pPr>
    </w:p>
    <w:p w:rsidR="00D529C5" w:rsidRDefault="00D529C5" w:rsidP="0011267F">
      <w:pPr>
        <w:spacing w:after="0" w:line="240" w:lineRule="auto"/>
        <w:jc w:val="both"/>
        <w:rPr>
          <w:rFonts w:hAnsi="Calibri" w:cs="Calibri"/>
          <w:sz w:val="24"/>
          <w:szCs w:val="24"/>
        </w:rPr>
      </w:pPr>
      <w:r w:rsidRPr="00CA3594">
        <w:rPr>
          <w:rFonts w:hAnsi="Calibri" w:cs="Calibri"/>
          <w:sz w:val="24"/>
          <w:szCs w:val="24"/>
        </w:rPr>
        <w:t>Por otra parte, nuestro país registra casi nulas transacciones con los países que hoy revisten el carácter de no cooperantes.</w:t>
      </w:r>
    </w:p>
    <w:p w:rsidR="00D529C5" w:rsidRPr="00AC4B67" w:rsidRDefault="00D529C5" w:rsidP="00AC4B67">
      <w:pPr>
        <w:pStyle w:val="Heading1"/>
        <w:numPr>
          <w:ilvl w:val="0"/>
          <w:numId w:val="39"/>
        </w:numPr>
        <w:rPr>
          <w:rFonts w:cs="Calibri"/>
          <w:sz w:val="24"/>
          <w:szCs w:val="24"/>
        </w:rPr>
      </w:pPr>
      <w:bookmarkStart w:id="76" w:name="_Toc492313350"/>
      <w:r w:rsidRPr="00AC4B67">
        <w:rPr>
          <w:rFonts w:cs="Calibri"/>
          <w:sz w:val="24"/>
          <w:szCs w:val="24"/>
        </w:rPr>
        <w:t>Reflexiones finales</w:t>
      </w:r>
      <w:bookmarkEnd w:id="76"/>
    </w:p>
    <w:p w:rsidR="00D529C5" w:rsidRDefault="00D529C5" w:rsidP="0011267F">
      <w:pPr>
        <w:spacing w:after="0" w:line="240" w:lineRule="auto"/>
        <w:jc w:val="both"/>
        <w:rPr>
          <w:rFonts w:hAnsi="Calibri" w:cs="Calibri"/>
          <w:sz w:val="24"/>
          <w:szCs w:val="24"/>
        </w:rPr>
      </w:pPr>
    </w:p>
    <w:p w:rsidR="00D529C5" w:rsidRPr="00DE6602" w:rsidRDefault="00D529C5" w:rsidP="00DE6602">
      <w:pPr>
        <w:spacing w:after="0" w:line="240" w:lineRule="auto"/>
        <w:jc w:val="both"/>
        <w:rPr>
          <w:rFonts w:hAnsi="Calibri" w:cs="Calibri"/>
          <w:sz w:val="24"/>
          <w:szCs w:val="24"/>
        </w:rPr>
      </w:pPr>
      <w:r w:rsidRPr="00DE6602">
        <w:rPr>
          <w:rFonts w:hAnsi="Calibri" w:cs="Calibri"/>
          <w:sz w:val="24"/>
          <w:szCs w:val="24"/>
        </w:rPr>
        <w:t xml:space="preserve">Un tema, que hemos visto a lo largo de este documento es la falta de precisiones en la norma actual respecto a la definición de los distintos canales de inversión en el exterior. No se especifica claramente cuál es el cuerpo normativo de referencia nacional o extranjero- para definir “sociedad por acciones”, “sociedades del exterior en la que </w:t>
      </w:r>
      <w:r>
        <w:rPr>
          <w:rFonts w:hAnsi="Calibri" w:cs="Calibri"/>
          <w:sz w:val="24"/>
          <w:szCs w:val="24"/>
        </w:rPr>
        <w:t xml:space="preserve">se </w:t>
      </w:r>
      <w:r w:rsidRPr="00DE6602">
        <w:rPr>
          <w:rFonts w:hAnsi="Calibri" w:cs="Calibri"/>
          <w:sz w:val="24"/>
          <w:szCs w:val="24"/>
        </w:rPr>
        <w:t>participe</w:t>
      </w:r>
      <w:r>
        <w:rPr>
          <w:rFonts w:hAnsi="Calibri" w:cs="Calibri"/>
          <w:sz w:val="24"/>
          <w:szCs w:val="24"/>
        </w:rPr>
        <w:t xml:space="preserve"> como</w:t>
      </w:r>
      <w:r w:rsidRPr="00DE6602">
        <w:rPr>
          <w:rFonts w:hAnsi="Calibri" w:cs="Calibri"/>
          <w:sz w:val="24"/>
          <w:szCs w:val="24"/>
        </w:rPr>
        <w:t xml:space="preserve"> ´socio´”, “fideicomiso o figura jurídica equivalente” o “fondos comunes de inversión o figuras equivalentes que cumplan la misma función”. Debería realizarse un</w:t>
      </w:r>
      <w:r>
        <w:rPr>
          <w:rFonts w:hAnsi="Calibri" w:cs="Calibri"/>
          <w:sz w:val="24"/>
          <w:szCs w:val="24"/>
        </w:rPr>
        <w:t>a</w:t>
      </w:r>
      <w:r w:rsidRPr="00DE6602">
        <w:rPr>
          <w:rFonts w:hAnsi="Calibri" w:cs="Calibri"/>
          <w:sz w:val="24"/>
          <w:szCs w:val="24"/>
        </w:rPr>
        <w:t xml:space="preserve"> </w:t>
      </w:r>
      <w:r w:rsidRPr="00DE6602">
        <w:rPr>
          <w:rFonts w:hAnsi="Calibri" w:cs="Calibri"/>
          <w:i/>
          <w:sz w:val="24"/>
          <w:szCs w:val="24"/>
        </w:rPr>
        <w:t>[a]decuada remisión a conceptos jurídicos normativos con indicación, en su caso, de sus alcances y limitaciones]</w:t>
      </w:r>
      <w:r w:rsidRPr="00DE6602">
        <w:rPr>
          <w:rFonts w:hAnsi="Calibri" w:cs="Calibri"/>
          <w:sz w:val="24"/>
          <w:szCs w:val="24"/>
          <w:vertAlign w:val="superscript"/>
        </w:rPr>
        <w:footnoteReference w:id="158"/>
      </w:r>
      <w:r>
        <w:rPr>
          <w:rFonts w:hAnsi="Calibri" w:cs="Calibri"/>
          <w:sz w:val="24"/>
          <w:szCs w:val="24"/>
        </w:rPr>
        <w:t>. A</w:t>
      </w:r>
      <w:r w:rsidRPr="00DE6602">
        <w:rPr>
          <w:rFonts w:hAnsi="Calibri" w:cs="Calibri"/>
          <w:sz w:val="24"/>
          <w:szCs w:val="24"/>
        </w:rPr>
        <w:t>l respecto nos inclinamos por una referencia a leyes nacionales lo que brindaría seguridad jurídica a los contribuyentes en cuanto a la determinación de la materia imponible y a la administración fiscal en el ejercicio de sus tareas de control. En caso, en que se optara por recurrir a ordenamientos extranjeros, estimamos que su número y dinamismo conspirarían con la simplicidad</w:t>
      </w:r>
      <w:r>
        <w:rPr>
          <w:rFonts w:hAnsi="Calibri" w:cs="Calibri"/>
          <w:sz w:val="24"/>
          <w:szCs w:val="24"/>
        </w:rPr>
        <w:t xml:space="preserve"> y</w:t>
      </w:r>
      <w:r w:rsidRPr="00DE6602">
        <w:rPr>
          <w:rFonts w:hAnsi="Calibri" w:cs="Calibri"/>
          <w:sz w:val="24"/>
          <w:szCs w:val="24"/>
        </w:rPr>
        <w:t xml:space="preserve"> precisión en la aplicación de los preceptos.</w:t>
      </w:r>
    </w:p>
    <w:p w:rsidR="00D529C5" w:rsidRPr="00DE6602" w:rsidRDefault="00D529C5" w:rsidP="00DE6602">
      <w:pPr>
        <w:spacing w:after="0" w:line="240" w:lineRule="auto"/>
        <w:jc w:val="both"/>
        <w:rPr>
          <w:rFonts w:hAnsi="Calibri" w:cs="Calibri"/>
          <w:sz w:val="24"/>
          <w:szCs w:val="24"/>
        </w:rPr>
      </w:pPr>
    </w:p>
    <w:p w:rsidR="00D529C5" w:rsidRPr="00DE6602" w:rsidRDefault="00D529C5" w:rsidP="00DE6602">
      <w:pPr>
        <w:spacing w:after="0" w:line="240" w:lineRule="auto"/>
        <w:jc w:val="both"/>
        <w:rPr>
          <w:rFonts w:hAnsi="Calibri" w:cs="Calibri"/>
          <w:sz w:val="24"/>
          <w:szCs w:val="24"/>
        </w:rPr>
      </w:pPr>
      <w:r>
        <w:rPr>
          <w:rFonts w:hAnsi="Calibri" w:cs="Calibri"/>
          <w:sz w:val="24"/>
          <w:szCs w:val="24"/>
        </w:rPr>
        <w:t xml:space="preserve">Como también vimos, </w:t>
      </w:r>
      <w:r w:rsidRPr="00DE6602">
        <w:rPr>
          <w:rFonts w:hAnsi="Calibri" w:cs="Calibri"/>
          <w:sz w:val="24"/>
          <w:szCs w:val="24"/>
        </w:rPr>
        <w:t xml:space="preserve">la imputación de los resultados puede variar sustancialmente e incluso su conformación. En ese futuro diseño </w:t>
      </w:r>
      <w:r>
        <w:rPr>
          <w:rFonts w:hAnsi="Calibri" w:cs="Calibri"/>
          <w:sz w:val="24"/>
          <w:szCs w:val="24"/>
        </w:rPr>
        <w:t xml:space="preserve">normativo </w:t>
      </w:r>
      <w:r w:rsidRPr="00DE6602">
        <w:rPr>
          <w:rFonts w:hAnsi="Calibri" w:cs="Calibri"/>
          <w:sz w:val="24"/>
          <w:szCs w:val="24"/>
        </w:rPr>
        <w:t xml:space="preserve">debería respetarse el principio de neutralidad </w:t>
      </w:r>
      <w:r>
        <w:rPr>
          <w:rFonts w:hAnsi="Calibri" w:cs="Calibri"/>
          <w:sz w:val="24"/>
          <w:szCs w:val="24"/>
        </w:rPr>
        <w:t>en la</w:t>
      </w:r>
      <w:r w:rsidRPr="00DE6602">
        <w:rPr>
          <w:rFonts w:hAnsi="Calibri" w:cs="Calibri"/>
          <w:sz w:val="24"/>
          <w:szCs w:val="24"/>
        </w:rPr>
        <w:t xml:space="preserve"> exportación de capitales, es decir que, un residente no vea afectada su decisión de inversión, en el país o en el exterior o entre distintos países extranjeros, a causa de los impuestos.</w:t>
      </w:r>
    </w:p>
    <w:p w:rsidR="00D529C5" w:rsidRPr="00DE6602" w:rsidRDefault="00D529C5" w:rsidP="00DE6602">
      <w:pPr>
        <w:spacing w:after="0" w:line="240" w:lineRule="auto"/>
        <w:jc w:val="both"/>
        <w:rPr>
          <w:rFonts w:hAnsi="Calibri" w:cs="Calibri"/>
          <w:sz w:val="24"/>
          <w:szCs w:val="24"/>
        </w:rPr>
      </w:pPr>
    </w:p>
    <w:p w:rsidR="00D529C5" w:rsidRDefault="00D529C5" w:rsidP="006C7959">
      <w:pPr>
        <w:spacing w:after="0" w:line="240" w:lineRule="auto"/>
        <w:jc w:val="both"/>
        <w:rPr>
          <w:rFonts w:hAnsi="Calibri" w:cs="Calibri"/>
          <w:sz w:val="24"/>
          <w:szCs w:val="24"/>
        </w:rPr>
      </w:pPr>
      <w:r w:rsidRPr="00DE6602">
        <w:rPr>
          <w:rFonts w:hAnsi="Calibri" w:cs="Calibri"/>
          <w:sz w:val="24"/>
          <w:szCs w:val="24"/>
        </w:rPr>
        <w:t>También se ha visto en este documento que el régimen de “transparencia fiscal” se aplica, cuando las rentas pasivas involucradas sobrepasen un determinado porcentaje del total de ingresos del ente del exterior, afectándose el principio de legalidad en atención de no haber sido delegada la facultad para establecer dicho límite. Si bien</w:t>
      </w:r>
      <w:r>
        <w:rPr>
          <w:rFonts w:hAnsi="Calibri" w:cs="Calibri"/>
          <w:sz w:val="24"/>
          <w:szCs w:val="24"/>
        </w:rPr>
        <w:t>,</w:t>
      </w:r>
      <w:r w:rsidRPr="00DE6602">
        <w:rPr>
          <w:rFonts w:hAnsi="Calibri" w:cs="Calibri"/>
          <w:sz w:val="24"/>
          <w:szCs w:val="24"/>
        </w:rPr>
        <w:t xml:space="preserve"> no se desconoce que el máximo Tribunal aceptó que el Poder Ejecutivo pueda apartarse de la estructura literal de la ley, en la medida en que se ajuste al espíritu de ella</w:t>
      </w:r>
      <w:r w:rsidRPr="00DE6602">
        <w:rPr>
          <w:rFonts w:hAnsi="Calibri" w:cs="Calibri"/>
          <w:sz w:val="24"/>
          <w:szCs w:val="24"/>
          <w:vertAlign w:val="superscript"/>
        </w:rPr>
        <w:footnoteReference w:id="159"/>
      </w:r>
      <w:r w:rsidRPr="00DE6602">
        <w:rPr>
          <w:rFonts w:hAnsi="Calibri" w:cs="Calibri"/>
          <w:sz w:val="24"/>
          <w:szCs w:val="24"/>
        </w:rPr>
        <w:t xml:space="preserve">, estimamos que en este caso </w:t>
      </w:r>
      <w:r>
        <w:rPr>
          <w:rFonts w:hAnsi="Calibri" w:cs="Calibri"/>
          <w:sz w:val="24"/>
          <w:szCs w:val="24"/>
        </w:rPr>
        <w:t xml:space="preserve">la disposición reglamentaria </w:t>
      </w:r>
      <w:r w:rsidRPr="006C7959">
        <w:rPr>
          <w:rFonts w:hAnsi="Calibri" w:cs="Calibri"/>
          <w:sz w:val="24"/>
          <w:szCs w:val="24"/>
        </w:rPr>
        <w:t xml:space="preserve">no se ajusta a la doctrina sentada. </w:t>
      </w:r>
      <w:r>
        <w:rPr>
          <w:rFonts w:hAnsi="Calibri" w:cs="Calibri"/>
          <w:sz w:val="24"/>
          <w:szCs w:val="24"/>
        </w:rPr>
        <w:t>Sin perjuicio de ello, e</w:t>
      </w:r>
      <w:r w:rsidRPr="006C7959">
        <w:rPr>
          <w:rFonts w:hAnsi="Calibri" w:cs="Calibri"/>
          <w:sz w:val="24"/>
          <w:szCs w:val="24"/>
        </w:rPr>
        <w:t xml:space="preserve">n la situación </w:t>
      </w:r>
      <w:r>
        <w:rPr>
          <w:rFonts w:hAnsi="Calibri" w:cs="Calibri"/>
          <w:sz w:val="24"/>
          <w:szCs w:val="24"/>
        </w:rPr>
        <w:t>descripta se presenta un quiebre</w:t>
      </w:r>
      <w:r w:rsidRPr="006C7959">
        <w:rPr>
          <w:rFonts w:hAnsi="Calibri" w:cs="Calibri"/>
          <w:sz w:val="24"/>
          <w:szCs w:val="24"/>
        </w:rPr>
        <w:t xml:space="preserve"> del criterio de neutralidad. </w:t>
      </w:r>
    </w:p>
    <w:p w:rsidR="00D529C5" w:rsidRDefault="00D529C5" w:rsidP="006C7959">
      <w:pPr>
        <w:spacing w:after="0" w:line="240" w:lineRule="auto"/>
        <w:jc w:val="both"/>
        <w:rPr>
          <w:rFonts w:hAnsi="Calibri" w:cs="Calibri"/>
          <w:sz w:val="24"/>
          <w:szCs w:val="24"/>
        </w:rPr>
      </w:pPr>
    </w:p>
    <w:p w:rsidR="00D529C5" w:rsidRPr="006C7959" w:rsidRDefault="00D529C5" w:rsidP="006C7959">
      <w:pPr>
        <w:spacing w:after="0" w:line="240" w:lineRule="auto"/>
        <w:jc w:val="both"/>
        <w:rPr>
          <w:rFonts w:hAnsi="Calibri" w:cs="Calibri"/>
          <w:sz w:val="24"/>
          <w:szCs w:val="24"/>
        </w:rPr>
      </w:pPr>
      <w:r w:rsidRPr="006C7959">
        <w:rPr>
          <w:rFonts w:hAnsi="Calibri" w:cs="Calibri"/>
          <w:sz w:val="24"/>
          <w:szCs w:val="24"/>
        </w:rPr>
        <w:t>También se debería prever en un futuro diseño el adelantamiento del reconocimiento de resultados originados en “toda renta pasiva” más allá de que el vehículo se encuentre situado en una jurisdicción no cooperante.</w:t>
      </w:r>
    </w:p>
    <w:p w:rsidR="00D529C5" w:rsidRPr="006C7959" w:rsidRDefault="00D529C5" w:rsidP="006C7959">
      <w:pPr>
        <w:spacing w:after="0" w:line="240" w:lineRule="auto"/>
        <w:jc w:val="both"/>
        <w:rPr>
          <w:rFonts w:hAnsi="Calibri" w:cs="Calibri"/>
          <w:sz w:val="24"/>
          <w:szCs w:val="24"/>
        </w:rPr>
      </w:pPr>
    </w:p>
    <w:p w:rsidR="00D529C5" w:rsidRPr="006C7959" w:rsidRDefault="00D529C5" w:rsidP="006C7959">
      <w:pPr>
        <w:spacing w:after="0" w:line="240" w:lineRule="auto"/>
        <w:jc w:val="both"/>
        <w:rPr>
          <w:rFonts w:hAnsi="Calibri" w:cs="Helvetica"/>
          <w:color w:val="000000"/>
          <w:sz w:val="24"/>
          <w:szCs w:val="24"/>
        </w:rPr>
      </w:pPr>
      <w:r w:rsidRPr="006C7959">
        <w:rPr>
          <w:rFonts w:hAnsi="Calibri" w:cs="Arial"/>
          <w:color w:val="000000"/>
          <w:sz w:val="24"/>
          <w:szCs w:val="24"/>
        </w:rPr>
        <w:t>La determinación de los resultados en función de las normas impositivas o contables extranjeras conlleva para el contribuyente</w:t>
      </w:r>
      <w:r>
        <w:rPr>
          <w:rFonts w:hAnsi="Calibri" w:cs="Arial"/>
          <w:color w:val="000000"/>
          <w:sz w:val="24"/>
          <w:szCs w:val="24"/>
        </w:rPr>
        <w:t>,</w:t>
      </w:r>
      <w:r w:rsidRPr="006C7959">
        <w:rPr>
          <w:rFonts w:hAnsi="Calibri" w:cs="Arial"/>
          <w:color w:val="000000"/>
          <w:sz w:val="24"/>
          <w:szCs w:val="24"/>
        </w:rPr>
        <w:t xml:space="preserve"> incertidumbre acerca de su cálculo y respaldo y para</w:t>
      </w:r>
      <w:r>
        <w:rPr>
          <w:rFonts w:hAnsi="Calibri" w:cs="Arial"/>
          <w:color w:val="000000"/>
          <w:sz w:val="24"/>
          <w:szCs w:val="24"/>
        </w:rPr>
        <w:t xml:space="preserve"> </w:t>
      </w:r>
      <w:r w:rsidRPr="006C7959">
        <w:rPr>
          <w:rFonts w:hAnsi="Calibri" w:cs="Arial"/>
          <w:color w:val="000000"/>
          <w:sz w:val="24"/>
          <w:szCs w:val="24"/>
        </w:rPr>
        <w:t>el Fisco, dificulta</w:t>
      </w:r>
      <w:r>
        <w:rPr>
          <w:rFonts w:hAnsi="Calibri" w:cs="Arial"/>
          <w:color w:val="000000"/>
          <w:sz w:val="24"/>
          <w:szCs w:val="24"/>
        </w:rPr>
        <w:t>des en</w:t>
      </w:r>
      <w:r w:rsidRPr="006C7959">
        <w:rPr>
          <w:rFonts w:hAnsi="Calibri" w:cs="Arial"/>
          <w:color w:val="000000"/>
          <w:sz w:val="24"/>
          <w:szCs w:val="24"/>
        </w:rPr>
        <w:t xml:space="preserve"> su control. Recurrir a normas extranjeras para determinar los resultados a</w:t>
      </w:r>
      <w:r>
        <w:rPr>
          <w:rFonts w:hAnsi="Calibri" w:cs="Arial"/>
          <w:color w:val="000000"/>
          <w:sz w:val="24"/>
          <w:szCs w:val="24"/>
        </w:rPr>
        <w:t xml:space="preserve"> </w:t>
      </w:r>
      <w:r w:rsidRPr="006C7959">
        <w:rPr>
          <w:rFonts w:hAnsi="Calibri" w:cs="Arial"/>
          <w:color w:val="000000"/>
          <w:sz w:val="24"/>
          <w:szCs w:val="24"/>
        </w:rPr>
        <w:t>gravar lleva a una inequidad en cuanto a que, ante inversiones similares los resultados gravables puedan llegar a ser significativamente disímiles por lo que, se está en presencia de una alteración del principio de igualdad en la ley según el cual, los</w:t>
      </w:r>
      <w:r>
        <w:rPr>
          <w:rFonts w:hAnsi="Calibri" w:cs="Arial"/>
          <w:color w:val="000000"/>
          <w:sz w:val="24"/>
          <w:szCs w:val="24"/>
        </w:rPr>
        <w:t xml:space="preserve"> </w:t>
      </w:r>
      <w:r w:rsidRPr="006C7959">
        <w:rPr>
          <w:rFonts w:hAnsi="Calibri" w:cs="Arial"/>
          <w:color w:val="000000"/>
          <w:sz w:val="24"/>
          <w:szCs w:val="24"/>
          <w:lang w:val="es-ES"/>
        </w:rPr>
        <w:t>tratamientos legislativos deben ser iguales en igualdad de condiciones y desiguales ante circunstancias desiguales</w:t>
      </w:r>
      <w:r w:rsidRPr="006C7959">
        <w:rPr>
          <w:rStyle w:val="FootnoteReference"/>
          <w:rFonts w:hAnsi="Calibri" w:cs="Arial"/>
          <w:color w:val="000000"/>
          <w:sz w:val="24"/>
          <w:szCs w:val="24"/>
          <w:lang w:val="es-ES"/>
        </w:rPr>
        <w:footnoteReference w:id="160"/>
      </w:r>
      <w:r w:rsidRPr="006C7959">
        <w:rPr>
          <w:rFonts w:hAnsi="Calibri" w:cs="Arial"/>
          <w:color w:val="000000"/>
          <w:sz w:val="24"/>
          <w:szCs w:val="24"/>
          <w:lang w:val="es-ES"/>
        </w:rPr>
        <w:t>.</w:t>
      </w:r>
    </w:p>
    <w:p w:rsidR="00D529C5" w:rsidRDefault="00D529C5" w:rsidP="006C7959">
      <w:pPr>
        <w:spacing w:before="100" w:beforeAutospacing="1" w:after="100" w:afterAutospacing="1" w:line="240" w:lineRule="auto"/>
        <w:jc w:val="both"/>
        <w:rPr>
          <w:rFonts w:hAnsi="Calibri" w:cs="Calibri"/>
          <w:sz w:val="24"/>
          <w:szCs w:val="24"/>
        </w:rPr>
      </w:pPr>
      <w:r>
        <w:rPr>
          <w:rFonts w:hAnsi="Calibri" w:cs="Calibri"/>
          <w:sz w:val="24"/>
          <w:szCs w:val="24"/>
        </w:rPr>
        <w:t>Otro tema, que no deja de ser relevante para el control de las inversiones internacionales es la de fijar normas claras en cuanto a la obligación de documentar -forma, calidad, cantidad, oportunidad, etc.- por lo que, estimamos que este tema debería ser abordado en un futura reforma de la ley de procedimiento tributario.</w:t>
      </w:r>
    </w:p>
    <w:p w:rsidR="00D529C5" w:rsidRDefault="00D529C5" w:rsidP="00BB3CCD">
      <w:pPr>
        <w:spacing w:before="100" w:beforeAutospacing="1" w:after="100" w:afterAutospacing="1" w:line="240" w:lineRule="auto"/>
        <w:jc w:val="both"/>
        <w:rPr>
          <w:rFonts w:hAnsi="Calibri" w:cs="Calibri"/>
          <w:sz w:val="24"/>
          <w:szCs w:val="24"/>
        </w:rPr>
      </w:pPr>
      <w:r w:rsidRPr="00DE6602">
        <w:rPr>
          <w:rFonts w:hAnsi="Calibri" w:cs="Calibri"/>
          <w:sz w:val="24"/>
          <w:szCs w:val="24"/>
        </w:rPr>
        <w:t xml:space="preserve">Finalmente, debe tenerse presente que resulta justificado modificar el actual paradigma de </w:t>
      </w:r>
      <w:r>
        <w:rPr>
          <w:rFonts w:hAnsi="Calibri" w:cs="Calibri"/>
          <w:sz w:val="24"/>
          <w:szCs w:val="24"/>
        </w:rPr>
        <w:t>“</w:t>
      </w:r>
      <w:r w:rsidRPr="00DE6602">
        <w:rPr>
          <w:rFonts w:hAnsi="Calibri" w:cs="Calibri"/>
          <w:sz w:val="24"/>
          <w:szCs w:val="24"/>
        </w:rPr>
        <w:t>país cooperante</w:t>
      </w:r>
      <w:r>
        <w:rPr>
          <w:rFonts w:hAnsi="Calibri" w:cs="Calibri"/>
          <w:sz w:val="24"/>
          <w:szCs w:val="24"/>
        </w:rPr>
        <w:t>”</w:t>
      </w:r>
      <w:r w:rsidRPr="00DE6602">
        <w:rPr>
          <w:rFonts w:hAnsi="Calibri" w:cs="Calibri"/>
          <w:sz w:val="24"/>
          <w:szCs w:val="24"/>
        </w:rPr>
        <w:t xml:space="preserve"> por las razones expuestas en el apartado p</w:t>
      </w:r>
      <w:r>
        <w:rPr>
          <w:rFonts w:hAnsi="Calibri" w:cs="Calibri"/>
          <w:sz w:val="24"/>
          <w:szCs w:val="24"/>
        </w:rPr>
        <w:t>ertinente</w:t>
      </w:r>
      <w:r w:rsidRPr="00DE6602">
        <w:rPr>
          <w:rFonts w:hAnsi="Calibri" w:cs="Calibri"/>
          <w:sz w:val="24"/>
          <w:szCs w:val="24"/>
        </w:rPr>
        <w:t>.</w:t>
      </w:r>
    </w:p>
    <w:sectPr w:rsidR="00D529C5" w:rsidSect="003C37F0">
      <w:footerReference w:type="default" r:id="rId7"/>
      <w:pgSz w:w="11907" w:h="16840" w:code="9"/>
      <w:pgMar w:top="1418"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9C5" w:rsidRDefault="00D529C5" w:rsidP="0068007C">
      <w:pPr>
        <w:spacing w:after="0" w:line="240" w:lineRule="auto"/>
      </w:pPr>
      <w:r>
        <w:separator/>
      </w:r>
    </w:p>
  </w:endnote>
  <w:endnote w:type="continuationSeparator" w:id="1">
    <w:p w:rsidR="00D529C5" w:rsidRDefault="00D529C5" w:rsidP="006800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9C5" w:rsidRDefault="00D529C5">
    <w:pPr>
      <w:pStyle w:val="Footer"/>
      <w:jc w:val="right"/>
    </w:pPr>
    <w:r>
      <w:fldChar w:fldCharType="begin"/>
    </w:r>
    <w:r>
      <w:instrText>PAGE   \* MERGEFORMAT</w:instrText>
    </w:r>
    <w:r>
      <w:fldChar w:fldCharType="separate"/>
    </w:r>
    <w:r w:rsidRPr="00353AB6">
      <w:rPr>
        <w:noProof/>
        <w:lang w:val="es-ES"/>
      </w:rPr>
      <w:t>1</w:t>
    </w:r>
    <w:r>
      <w:fldChar w:fldCharType="end"/>
    </w:r>
  </w:p>
  <w:p w:rsidR="00D529C5" w:rsidRDefault="00D529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9C5" w:rsidRDefault="00D529C5" w:rsidP="0068007C">
      <w:pPr>
        <w:spacing w:after="0" w:line="240" w:lineRule="auto"/>
      </w:pPr>
      <w:r>
        <w:separator/>
      </w:r>
    </w:p>
  </w:footnote>
  <w:footnote w:type="continuationSeparator" w:id="1">
    <w:p w:rsidR="00D529C5" w:rsidRDefault="00D529C5" w:rsidP="0068007C">
      <w:pPr>
        <w:spacing w:after="0" w:line="240" w:lineRule="auto"/>
      </w:pPr>
      <w:r>
        <w:continuationSeparator/>
      </w:r>
    </w:p>
  </w:footnote>
  <w:footnote w:id="2">
    <w:p w:rsidR="00D529C5" w:rsidRDefault="00D529C5" w:rsidP="00F27260">
      <w:pPr>
        <w:pStyle w:val="FootnoteText"/>
        <w:jc w:val="both"/>
      </w:pPr>
      <w:r w:rsidRPr="00F27260">
        <w:rPr>
          <w:rStyle w:val="FootnoteReference"/>
          <w:rFonts w:hAnsi="Calibri" w:cs="Calibri"/>
          <w:sz w:val="22"/>
          <w:szCs w:val="22"/>
        </w:rPr>
        <w:footnoteRef/>
      </w:r>
      <w:r w:rsidRPr="00D3449A">
        <w:rPr>
          <w:rFonts w:hAnsi="Calibri" w:cs="Calibri"/>
          <w:sz w:val="22"/>
          <w:szCs w:val="22"/>
        </w:rPr>
        <w:t xml:space="preserve"> </w:t>
      </w:r>
      <w:r w:rsidRPr="00F27260">
        <w:rPr>
          <w:rFonts w:hAnsi="Calibri" w:cs="Calibri"/>
          <w:sz w:val="22"/>
          <w:szCs w:val="22"/>
        </w:rPr>
        <w:t xml:space="preserve">Ley 20.628, texto ordenado por el Decreto 649/1997 (B.O. 06/08/1997) y modificaciones. Disponible en Base de Datos </w:t>
      </w:r>
      <w:r w:rsidRPr="00F27260">
        <w:rPr>
          <w:rFonts w:hAnsi="Calibri" w:cs="Calibri"/>
          <w:i/>
          <w:sz w:val="22"/>
          <w:szCs w:val="22"/>
        </w:rPr>
        <w:t>Infoleg – Información Legislativa;</w:t>
      </w:r>
      <w:r w:rsidRPr="00F27260">
        <w:rPr>
          <w:rFonts w:hAnsi="Calibri" w:cs="Calibri"/>
          <w:sz w:val="22"/>
          <w:szCs w:val="22"/>
        </w:rPr>
        <w:t xml:space="preserve"> </w:t>
      </w:r>
      <w:r w:rsidRPr="00D3449A">
        <w:rPr>
          <w:rFonts w:hAnsi="Calibri" w:cs="Calibri"/>
          <w:sz w:val="22"/>
          <w:szCs w:val="22"/>
        </w:rPr>
        <w:t>art. 132 pár 2.</w:t>
      </w:r>
    </w:p>
  </w:footnote>
  <w:footnote w:id="3">
    <w:p w:rsidR="00D529C5" w:rsidRDefault="00D529C5" w:rsidP="00F27260">
      <w:pPr>
        <w:pStyle w:val="FootnoteText"/>
        <w:jc w:val="both"/>
      </w:pPr>
      <w:r w:rsidRPr="00F27260">
        <w:rPr>
          <w:rStyle w:val="FootnoteReference"/>
          <w:rFonts w:hAnsi="Calibri" w:cs="Calibri"/>
          <w:sz w:val="22"/>
          <w:szCs w:val="22"/>
        </w:rPr>
        <w:footnoteRef/>
      </w:r>
      <w:r w:rsidRPr="00353AB6">
        <w:rPr>
          <w:rFonts w:hAnsi="Calibri" w:cs="Calibri"/>
          <w:sz w:val="22"/>
          <w:szCs w:val="22"/>
          <w:lang w:val="es-ES"/>
        </w:rPr>
        <w:t xml:space="preserve"> Ob. cit. </w:t>
      </w:r>
      <w:r w:rsidRPr="006F5ACC">
        <w:rPr>
          <w:rFonts w:hAnsi="Calibri" w:cs="Calibri"/>
          <w:sz w:val="22"/>
          <w:szCs w:val="22"/>
        </w:rPr>
        <w:t>Nota 1 art. 132 pár 2 y norma reglamentaria concordante.</w:t>
      </w:r>
    </w:p>
  </w:footnote>
  <w:footnote w:id="4">
    <w:p w:rsidR="00D529C5" w:rsidRDefault="00D529C5" w:rsidP="00F27260">
      <w:pPr>
        <w:pStyle w:val="FootnoteText"/>
        <w:jc w:val="both"/>
      </w:pPr>
      <w:r w:rsidRPr="00F27260">
        <w:rPr>
          <w:rStyle w:val="FootnoteReference"/>
          <w:rFonts w:hAnsi="Calibri"/>
          <w:sz w:val="22"/>
          <w:szCs w:val="22"/>
        </w:rPr>
        <w:footnoteRef/>
      </w:r>
      <w:r w:rsidRPr="00F27260">
        <w:rPr>
          <w:rFonts w:hAnsi="Calibri"/>
          <w:sz w:val="22"/>
          <w:szCs w:val="22"/>
        </w:rPr>
        <w:t xml:space="preserve"> Siguiendo la terminología contable de conversión de Estados Contables.</w:t>
      </w:r>
    </w:p>
  </w:footnote>
  <w:footnote w:id="5">
    <w:p w:rsidR="00D529C5" w:rsidRDefault="00D529C5" w:rsidP="00F27260">
      <w:pPr>
        <w:pStyle w:val="FootnoteText"/>
        <w:jc w:val="both"/>
      </w:pPr>
      <w:r w:rsidRPr="00F27260">
        <w:rPr>
          <w:rStyle w:val="FootnoteReference"/>
          <w:rFonts w:hAnsi="Calibri" w:cs="Calibri"/>
          <w:sz w:val="22"/>
          <w:szCs w:val="22"/>
        </w:rPr>
        <w:footnoteRef/>
      </w:r>
      <w:r w:rsidRPr="00A6581A">
        <w:rPr>
          <w:rFonts w:hAnsi="Calibri" w:cs="Calibri"/>
          <w:sz w:val="22"/>
          <w:szCs w:val="22"/>
          <w:lang w:val="en-US"/>
        </w:rPr>
        <w:t xml:space="preserve"> </w:t>
      </w:r>
      <w:r>
        <w:rPr>
          <w:rFonts w:hAnsi="Calibri" w:cs="Calibri"/>
          <w:sz w:val="22"/>
          <w:szCs w:val="22"/>
          <w:lang w:val="en-US"/>
        </w:rPr>
        <w:t xml:space="preserve">Ob. cit. Nota 1 </w:t>
      </w:r>
      <w:r w:rsidRPr="00A6581A">
        <w:rPr>
          <w:rFonts w:hAnsi="Calibri" w:cs="Calibri"/>
          <w:sz w:val="22"/>
          <w:szCs w:val="22"/>
          <w:lang w:val="en-US"/>
        </w:rPr>
        <w:t>art. 131, pár. 1.</w:t>
      </w:r>
    </w:p>
  </w:footnote>
  <w:footnote w:id="6">
    <w:p w:rsidR="00D529C5" w:rsidRDefault="00D529C5" w:rsidP="005A30C9">
      <w:pPr>
        <w:pStyle w:val="FootnoteText"/>
        <w:jc w:val="both"/>
      </w:pPr>
      <w:r w:rsidRPr="005A30C9">
        <w:rPr>
          <w:rStyle w:val="FootnoteReference"/>
          <w:rFonts w:hAnsi="Calibri" w:cs="Calibri"/>
          <w:sz w:val="22"/>
          <w:szCs w:val="22"/>
        </w:rPr>
        <w:footnoteRef/>
      </w:r>
      <w:r w:rsidRPr="00A6581A">
        <w:rPr>
          <w:rFonts w:hAnsi="Calibri" w:cs="Calibri"/>
          <w:sz w:val="22"/>
          <w:szCs w:val="22"/>
          <w:lang w:val="en-US"/>
        </w:rPr>
        <w:t xml:space="preserve"> </w:t>
      </w:r>
      <w:r>
        <w:rPr>
          <w:rFonts w:hAnsi="Calibri" w:cs="Calibri"/>
          <w:sz w:val="22"/>
          <w:szCs w:val="22"/>
          <w:lang w:val="en-US"/>
        </w:rPr>
        <w:t xml:space="preserve">Ob. cit. Nota 1 </w:t>
      </w:r>
      <w:r w:rsidRPr="00A6581A">
        <w:rPr>
          <w:rFonts w:hAnsi="Calibri" w:cs="Calibri"/>
          <w:sz w:val="22"/>
          <w:szCs w:val="22"/>
          <w:lang w:val="en-US"/>
        </w:rPr>
        <w:t>art. 41, pár. 1.</w:t>
      </w:r>
    </w:p>
  </w:footnote>
  <w:footnote w:id="7">
    <w:p w:rsidR="00D529C5" w:rsidRDefault="00D529C5" w:rsidP="005A30C9">
      <w:pPr>
        <w:pStyle w:val="FootnoteText"/>
        <w:jc w:val="both"/>
      </w:pPr>
      <w:r w:rsidRPr="005A30C9">
        <w:rPr>
          <w:rStyle w:val="FootnoteReference"/>
          <w:rFonts w:hAnsi="Calibri" w:cs="Calibri"/>
          <w:sz w:val="22"/>
          <w:szCs w:val="22"/>
        </w:rPr>
        <w:footnoteRef/>
      </w:r>
      <w:r w:rsidRPr="009050CD">
        <w:rPr>
          <w:rFonts w:hAnsi="Calibri" w:cs="Calibri"/>
          <w:sz w:val="22"/>
          <w:szCs w:val="22"/>
        </w:rPr>
        <w:t xml:space="preserve"> Decreto 1344/1998, reglamentario de </w:t>
      </w:r>
      <w:smartTag w:uri="urn:schemas-microsoft-com:office:smarttags" w:element="PersonName">
        <w:smartTagPr>
          <w:attr w:name="ProductID" w:val="la Ley"/>
        </w:smartTagPr>
        <w:r w:rsidRPr="009050CD">
          <w:rPr>
            <w:rFonts w:hAnsi="Calibri" w:cs="Calibri"/>
            <w:sz w:val="22"/>
            <w:szCs w:val="22"/>
          </w:rPr>
          <w:t>la Ley</w:t>
        </w:r>
      </w:smartTag>
      <w:r w:rsidRPr="009050CD">
        <w:rPr>
          <w:rFonts w:hAnsi="Calibri" w:cs="Calibri"/>
          <w:sz w:val="22"/>
          <w:szCs w:val="22"/>
        </w:rPr>
        <w:t xml:space="preserve"> de Impuesto a las Ganancias, y modificaciones. Disponible en Base de Datos </w:t>
      </w:r>
      <w:r w:rsidRPr="009050CD">
        <w:rPr>
          <w:rFonts w:hAnsi="Calibri" w:cs="Calibri"/>
          <w:i/>
          <w:sz w:val="22"/>
          <w:szCs w:val="22"/>
        </w:rPr>
        <w:t>Infoleg – Información Legislativa</w:t>
      </w:r>
      <w:r w:rsidRPr="009050CD">
        <w:rPr>
          <w:rFonts w:hAnsi="Calibri" w:cs="Calibri"/>
          <w:sz w:val="22"/>
          <w:szCs w:val="22"/>
        </w:rPr>
        <w:t>; art. 59 inc a).</w:t>
      </w:r>
    </w:p>
  </w:footnote>
  <w:footnote w:id="8">
    <w:p w:rsidR="00D529C5" w:rsidRDefault="00D529C5" w:rsidP="005A30C9">
      <w:pPr>
        <w:pStyle w:val="FootnoteText"/>
        <w:jc w:val="both"/>
      </w:pPr>
      <w:r w:rsidRPr="005A30C9">
        <w:rPr>
          <w:rStyle w:val="FootnoteReference"/>
          <w:rFonts w:hAnsi="Calibri" w:cs="Calibri"/>
          <w:sz w:val="22"/>
          <w:szCs w:val="22"/>
        </w:rPr>
        <w:footnoteRef/>
      </w:r>
      <w:r w:rsidRPr="005A30C9">
        <w:rPr>
          <w:rFonts w:hAnsi="Calibri" w:cs="Calibri"/>
          <w:sz w:val="22"/>
          <w:szCs w:val="22"/>
          <w:lang w:val="en-US"/>
        </w:rPr>
        <w:t xml:space="preserve"> </w:t>
      </w:r>
      <w:bookmarkStart w:id="11" w:name="_Hlk491016240"/>
      <w:r>
        <w:rPr>
          <w:rFonts w:hAnsi="Calibri" w:cs="Calibri"/>
          <w:sz w:val="22"/>
          <w:szCs w:val="22"/>
          <w:lang w:val="en-US"/>
        </w:rPr>
        <w:t>Ob. cit. Nota 1 art. 41, pár. 1</w:t>
      </w:r>
      <w:r w:rsidRPr="005A30C9">
        <w:rPr>
          <w:rFonts w:hAnsi="Calibri" w:cs="Calibri"/>
          <w:sz w:val="22"/>
          <w:szCs w:val="22"/>
          <w:lang w:val="en-US"/>
        </w:rPr>
        <w:t>.</w:t>
      </w:r>
      <w:bookmarkEnd w:id="11"/>
    </w:p>
  </w:footnote>
  <w:footnote w:id="9">
    <w:p w:rsidR="00D529C5" w:rsidRDefault="00D529C5" w:rsidP="005A30C9">
      <w:pPr>
        <w:pStyle w:val="FootnoteText"/>
        <w:jc w:val="both"/>
      </w:pPr>
      <w:r w:rsidRPr="005A30C9">
        <w:rPr>
          <w:rStyle w:val="FootnoteReference"/>
          <w:rFonts w:hAnsi="Calibri" w:cs="Calibri"/>
          <w:sz w:val="22"/>
          <w:szCs w:val="22"/>
        </w:rPr>
        <w:footnoteRef/>
      </w:r>
      <w:r w:rsidRPr="005A30C9">
        <w:rPr>
          <w:rFonts w:hAnsi="Calibri" w:cs="Calibri"/>
          <w:sz w:val="22"/>
          <w:szCs w:val="22"/>
          <w:lang w:val="en-US"/>
        </w:rPr>
        <w:t xml:space="preserve"> </w:t>
      </w:r>
      <w:r>
        <w:rPr>
          <w:rFonts w:hAnsi="Calibri" w:cs="Calibri"/>
          <w:sz w:val="22"/>
          <w:szCs w:val="22"/>
          <w:lang w:val="en-US"/>
        </w:rPr>
        <w:t xml:space="preserve">Ob. cit. Nota 6 </w:t>
      </w:r>
      <w:r w:rsidRPr="005A30C9">
        <w:rPr>
          <w:rFonts w:hAnsi="Calibri" w:cs="Calibri"/>
          <w:sz w:val="22"/>
          <w:szCs w:val="22"/>
          <w:lang w:val="en-US"/>
        </w:rPr>
        <w:t>art. 59 inc c).</w:t>
      </w:r>
    </w:p>
  </w:footnote>
  <w:footnote w:id="10">
    <w:p w:rsidR="00D529C5" w:rsidRDefault="00D529C5" w:rsidP="005A30C9">
      <w:pPr>
        <w:pStyle w:val="FootnoteText"/>
        <w:jc w:val="both"/>
      </w:pPr>
      <w:r w:rsidRPr="005A30C9">
        <w:rPr>
          <w:rStyle w:val="FootnoteReference"/>
          <w:rFonts w:hAnsi="Calibri" w:cs="Calibri"/>
          <w:sz w:val="22"/>
          <w:szCs w:val="22"/>
        </w:rPr>
        <w:footnoteRef/>
      </w:r>
      <w:r w:rsidRPr="005A30C9">
        <w:rPr>
          <w:rFonts w:hAnsi="Calibri" w:cs="Calibri"/>
          <w:sz w:val="22"/>
          <w:szCs w:val="22"/>
          <w:lang w:val="en-US"/>
        </w:rPr>
        <w:t xml:space="preserve"> </w:t>
      </w:r>
      <w:r>
        <w:rPr>
          <w:rFonts w:hAnsi="Calibri" w:cs="Calibri"/>
          <w:sz w:val="22"/>
          <w:szCs w:val="22"/>
          <w:lang w:val="en-US"/>
        </w:rPr>
        <w:t xml:space="preserve">Ob. cit. Nota 1 </w:t>
      </w:r>
      <w:r w:rsidRPr="005A30C9">
        <w:rPr>
          <w:rFonts w:hAnsi="Calibri" w:cs="Calibri"/>
          <w:sz w:val="22"/>
          <w:szCs w:val="22"/>
          <w:lang w:val="en-US"/>
        </w:rPr>
        <w:t xml:space="preserve"> art. 41, pár. </w:t>
      </w:r>
      <w:r>
        <w:rPr>
          <w:rFonts w:hAnsi="Calibri" w:cs="Calibri"/>
          <w:sz w:val="22"/>
          <w:szCs w:val="22"/>
          <w:lang w:val="en-US"/>
        </w:rPr>
        <w:t>1</w:t>
      </w:r>
      <w:r w:rsidRPr="005A30C9">
        <w:rPr>
          <w:rFonts w:hAnsi="Calibri" w:cs="Calibri"/>
          <w:sz w:val="22"/>
          <w:szCs w:val="22"/>
          <w:lang w:val="en-US"/>
        </w:rPr>
        <w:t>.</w:t>
      </w:r>
    </w:p>
  </w:footnote>
  <w:footnote w:id="11">
    <w:p w:rsidR="00D529C5" w:rsidRDefault="00D529C5" w:rsidP="005A30C9">
      <w:pPr>
        <w:pStyle w:val="FootnoteText"/>
        <w:jc w:val="both"/>
      </w:pPr>
      <w:r w:rsidRPr="002E1A92">
        <w:rPr>
          <w:rStyle w:val="FootnoteReference"/>
          <w:rFonts w:hAnsi="Calibri" w:cs="Calibri"/>
          <w:sz w:val="22"/>
          <w:szCs w:val="22"/>
        </w:rPr>
        <w:footnoteRef/>
      </w:r>
      <w:r w:rsidRPr="002E1A92">
        <w:rPr>
          <w:rFonts w:hAnsi="Calibri" w:cs="Calibri"/>
          <w:sz w:val="22"/>
          <w:szCs w:val="22"/>
          <w:lang w:val="en-US"/>
        </w:rPr>
        <w:t xml:space="preserve"> </w:t>
      </w:r>
      <w:r>
        <w:rPr>
          <w:rFonts w:hAnsi="Calibri" w:cs="Calibri"/>
          <w:sz w:val="22"/>
          <w:szCs w:val="22"/>
          <w:lang w:val="en-US"/>
        </w:rPr>
        <w:t xml:space="preserve">Ob. cit. Nota 6 </w:t>
      </w:r>
      <w:r w:rsidRPr="002E1A92">
        <w:rPr>
          <w:rFonts w:hAnsi="Calibri" w:cs="Calibri"/>
          <w:sz w:val="22"/>
          <w:szCs w:val="22"/>
          <w:lang w:val="en-US"/>
        </w:rPr>
        <w:t>art. 59 inc f) pár. 1.</w:t>
      </w:r>
    </w:p>
  </w:footnote>
  <w:footnote w:id="12">
    <w:p w:rsidR="00D529C5" w:rsidRDefault="00D529C5" w:rsidP="005A30C9">
      <w:pPr>
        <w:pStyle w:val="FootnoteText"/>
        <w:jc w:val="both"/>
      </w:pPr>
      <w:r w:rsidRPr="002E1A92">
        <w:rPr>
          <w:rStyle w:val="FootnoteReference"/>
          <w:rFonts w:hAnsi="Calibri" w:cs="Calibri"/>
          <w:sz w:val="22"/>
          <w:szCs w:val="22"/>
        </w:rPr>
        <w:footnoteRef/>
      </w:r>
      <w:r w:rsidRPr="002E1A92">
        <w:rPr>
          <w:rFonts w:hAnsi="Calibri" w:cs="Calibri"/>
          <w:sz w:val="22"/>
          <w:szCs w:val="22"/>
          <w:lang w:val="en-US"/>
        </w:rPr>
        <w:t xml:space="preserve"> </w:t>
      </w:r>
      <w:r>
        <w:rPr>
          <w:rFonts w:hAnsi="Calibri" w:cs="Calibri"/>
          <w:sz w:val="22"/>
          <w:szCs w:val="22"/>
          <w:lang w:val="en-US"/>
        </w:rPr>
        <w:t xml:space="preserve">Ob. cit. Nota 6 </w:t>
      </w:r>
      <w:r w:rsidRPr="002E1A92">
        <w:rPr>
          <w:rFonts w:hAnsi="Calibri" w:cs="Calibri"/>
          <w:sz w:val="22"/>
          <w:szCs w:val="22"/>
          <w:lang w:val="en-US"/>
        </w:rPr>
        <w:t>art. 59 inc f) pár. 2.</w:t>
      </w:r>
    </w:p>
  </w:footnote>
  <w:footnote w:id="13">
    <w:p w:rsidR="00D529C5" w:rsidRDefault="00D529C5" w:rsidP="005A30C9">
      <w:pPr>
        <w:pStyle w:val="FootnoteText"/>
        <w:jc w:val="both"/>
      </w:pPr>
      <w:r w:rsidRPr="002E1A92">
        <w:rPr>
          <w:rStyle w:val="FootnoteReference"/>
          <w:rFonts w:hAnsi="Calibri" w:cs="Calibri"/>
          <w:sz w:val="22"/>
          <w:szCs w:val="22"/>
        </w:rPr>
        <w:footnoteRef/>
      </w:r>
      <w:r>
        <w:rPr>
          <w:rFonts w:hAnsi="Calibri" w:cs="Calibri"/>
          <w:sz w:val="22"/>
          <w:szCs w:val="22"/>
          <w:lang w:val="en-US"/>
        </w:rPr>
        <w:t xml:space="preserve"> Ob. cit. Nota 1  art. 41, pár. 1</w:t>
      </w:r>
      <w:r w:rsidRPr="002E1A92">
        <w:rPr>
          <w:rFonts w:hAnsi="Calibri" w:cs="Calibri"/>
          <w:sz w:val="22"/>
          <w:szCs w:val="22"/>
          <w:lang w:val="en-US"/>
        </w:rPr>
        <w:t>.</w:t>
      </w:r>
    </w:p>
  </w:footnote>
  <w:footnote w:id="14">
    <w:p w:rsidR="00D529C5" w:rsidRDefault="00D529C5" w:rsidP="005A30C9">
      <w:pPr>
        <w:pStyle w:val="FootnoteText"/>
        <w:jc w:val="both"/>
      </w:pPr>
      <w:r w:rsidRPr="002E1A92">
        <w:rPr>
          <w:rStyle w:val="FootnoteReference"/>
          <w:rFonts w:hAnsi="Calibri" w:cs="Calibri"/>
          <w:sz w:val="22"/>
          <w:szCs w:val="22"/>
        </w:rPr>
        <w:footnoteRef/>
      </w:r>
      <w:r w:rsidRPr="002E1A92">
        <w:rPr>
          <w:rFonts w:hAnsi="Calibri" w:cs="Calibri"/>
          <w:sz w:val="22"/>
          <w:szCs w:val="22"/>
          <w:lang w:val="en-US"/>
        </w:rPr>
        <w:t xml:space="preserve"> </w:t>
      </w:r>
      <w:r>
        <w:rPr>
          <w:rFonts w:hAnsi="Calibri" w:cs="Calibri"/>
          <w:sz w:val="22"/>
          <w:szCs w:val="22"/>
          <w:lang w:val="en-US"/>
        </w:rPr>
        <w:t xml:space="preserve">Ob. cit. Nota 6 </w:t>
      </w:r>
      <w:r w:rsidRPr="002E1A92">
        <w:rPr>
          <w:rFonts w:hAnsi="Calibri" w:cs="Calibri"/>
          <w:sz w:val="22"/>
          <w:szCs w:val="22"/>
          <w:lang w:val="en-US"/>
        </w:rPr>
        <w:t>art. 59 inc d).</w:t>
      </w:r>
    </w:p>
  </w:footnote>
  <w:footnote w:id="15">
    <w:p w:rsidR="00D529C5" w:rsidRDefault="00D529C5" w:rsidP="0090108F">
      <w:pPr>
        <w:pStyle w:val="FootnoteText"/>
        <w:jc w:val="both"/>
      </w:pPr>
      <w:r>
        <w:rPr>
          <w:rStyle w:val="FootnoteReference"/>
        </w:rPr>
        <w:footnoteRef/>
      </w:r>
      <w:r w:rsidRPr="0090108F">
        <w:rPr>
          <w:lang w:val="en-US"/>
        </w:rPr>
        <w:t xml:space="preserve"> </w:t>
      </w:r>
      <w:r>
        <w:rPr>
          <w:rFonts w:hAnsi="Calibri" w:cs="Calibri"/>
          <w:sz w:val="22"/>
          <w:szCs w:val="22"/>
          <w:lang w:val="en-US"/>
        </w:rPr>
        <w:t>Ob. cit. Nota 1 art. 41, pár. 1.</w:t>
      </w:r>
    </w:p>
  </w:footnote>
  <w:footnote w:id="16">
    <w:p w:rsidR="00D529C5" w:rsidRDefault="00D529C5" w:rsidP="005A30C9">
      <w:pPr>
        <w:pStyle w:val="FootnoteText"/>
        <w:jc w:val="both"/>
      </w:pPr>
      <w:r w:rsidRPr="002E1A92">
        <w:rPr>
          <w:rStyle w:val="FootnoteReference"/>
          <w:rFonts w:hAnsi="Calibri" w:cs="Calibri"/>
          <w:sz w:val="22"/>
          <w:szCs w:val="22"/>
        </w:rPr>
        <w:footnoteRef/>
      </w:r>
      <w:r w:rsidRPr="0090108F">
        <w:rPr>
          <w:rFonts w:hAnsi="Calibri" w:cs="Calibri"/>
          <w:sz w:val="22"/>
          <w:szCs w:val="22"/>
          <w:lang w:val="en-US"/>
        </w:rPr>
        <w:t xml:space="preserve"> </w:t>
      </w:r>
      <w:r>
        <w:rPr>
          <w:rFonts w:hAnsi="Calibri" w:cs="Calibri"/>
          <w:sz w:val="22"/>
          <w:szCs w:val="22"/>
          <w:lang w:val="en-US"/>
        </w:rPr>
        <w:t xml:space="preserve">Ob. cit. Nota 1 </w:t>
      </w:r>
      <w:r w:rsidRPr="0090108F">
        <w:rPr>
          <w:rFonts w:hAnsi="Calibri" w:cs="Calibri"/>
          <w:sz w:val="22"/>
          <w:szCs w:val="22"/>
          <w:lang w:val="en-US"/>
        </w:rPr>
        <w:t>art. 41, pár. 2.</w:t>
      </w:r>
    </w:p>
  </w:footnote>
  <w:footnote w:id="17">
    <w:p w:rsidR="00D529C5" w:rsidRPr="002E1A92" w:rsidRDefault="00D529C5" w:rsidP="005A30C9">
      <w:pPr>
        <w:pStyle w:val="FootnoteText"/>
        <w:jc w:val="both"/>
        <w:rPr>
          <w:rFonts w:hAnsi="Calibri" w:cs="Calibri"/>
          <w:sz w:val="22"/>
          <w:szCs w:val="22"/>
        </w:rPr>
      </w:pPr>
      <w:r w:rsidRPr="002E1A92">
        <w:rPr>
          <w:rStyle w:val="FootnoteReference"/>
          <w:rFonts w:hAnsi="Calibri" w:cs="Calibri"/>
          <w:sz w:val="22"/>
          <w:szCs w:val="22"/>
        </w:rPr>
        <w:footnoteRef/>
      </w:r>
      <w:r w:rsidRPr="002E1A92">
        <w:rPr>
          <w:rFonts w:hAnsi="Calibri" w:cs="Calibri"/>
          <w:sz w:val="22"/>
          <w:szCs w:val="22"/>
        </w:rPr>
        <w:t xml:space="preserve"> Anexo I Comisión de Enlace AFIP - DGI/CPCECABA Reunión del 14/04/2010 [en línea]</w:t>
      </w:r>
    </w:p>
    <w:p w:rsidR="00D529C5" w:rsidRDefault="00D529C5" w:rsidP="005A30C9">
      <w:pPr>
        <w:pStyle w:val="FootnoteText"/>
        <w:jc w:val="both"/>
      </w:pPr>
      <w:hyperlink r:id="rId1" w:history="1">
        <w:r w:rsidRPr="002E1A92">
          <w:rPr>
            <w:rStyle w:val="Hyperlink"/>
            <w:sz w:val="22"/>
            <w:szCs w:val="22"/>
          </w:rPr>
          <w:t>http://biblioteca.afip.gob.ar/estaticos/enlaces/CONSEJO_AFIP_14_04_10.pdf</w:t>
        </w:r>
      </w:hyperlink>
    </w:p>
  </w:footnote>
  <w:footnote w:id="18">
    <w:p w:rsidR="00D529C5" w:rsidRDefault="00D529C5" w:rsidP="005A30C9">
      <w:pPr>
        <w:pStyle w:val="FootnoteText"/>
        <w:jc w:val="both"/>
      </w:pPr>
      <w:r w:rsidRPr="002E1A92">
        <w:rPr>
          <w:rStyle w:val="FootnoteReference"/>
          <w:rFonts w:hAnsi="Calibri" w:cs="Calibri"/>
          <w:sz w:val="22"/>
          <w:szCs w:val="22"/>
        </w:rPr>
        <w:footnoteRef/>
      </w:r>
      <w:r w:rsidRPr="002E1A92">
        <w:rPr>
          <w:rFonts w:hAnsi="Calibri" w:cs="Calibri"/>
          <w:sz w:val="22"/>
          <w:szCs w:val="22"/>
          <w:lang w:val="en-US"/>
        </w:rPr>
        <w:t xml:space="preserve"> </w:t>
      </w:r>
      <w:r>
        <w:rPr>
          <w:rFonts w:hAnsi="Calibri" w:cs="Calibri"/>
          <w:sz w:val="22"/>
          <w:szCs w:val="22"/>
          <w:lang w:val="en-US"/>
        </w:rPr>
        <w:t>Ob. cit. Nota 1</w:t>
      </w:r>
      <w:r w:rsidRPr="002E1A92">
        <w:rPr>
          <w:rFonts w:hAnsi="Calibri" w:cs="Calibri"/>
          <w:sz w:val="22"/>
          <w:szCs w:val="22"/>
          <w:lang w:val="en-US"/>
        </w:rPr>
        <w:t xml:space="preserve"> art. 42, pár. 2.</w:t>
      </w:r>
    </w:p>
  </w:footnote>
  <w:footnote w:id="19">
    <w:p w:rsidR="00D529C5" w:rsidRDefault="00D529C5" w:rsidP="005A30C9">
      <w:pPr>
        <w:pStyle w:val="FootnoteText"/>
        <w:jc w:val="both"/>
      </w:pPr>
      <w:r w:rsidRPr="005A30C9">
        <w:rPr>
          <w:rStyle w:val="FootnoteReference"/>
          <w:sz w:val="22"/>
          <w:szCs w:val="22"/>
        </w:rPr>
        <w:footnoteRef/>
      </w:r>
      <w:r w:rsidRPr="005A30C9">
        <w:rPr>
          <w:sz w:val="22"/>
          <w:szCs w:val="22"/>
          <w:lang w:val="en-US"/>
        </w:rPr>
        <w:t xml:space="preserve"> </w:t>
      </w:r>
      <w:r>
        <w:rPr>
          <w:rFonts w:hAnsi="Calibri" w:cs="Calibri"/>
          <w:sz w:val="22"/>
          <w:szCs w:val="22"/>
          <w:lang w:val="en-US"/>
        </w:rPr>
        <w:t xml:space="preserve">Ob. cit. Nota 1 </w:t>
      </w:r>
      <w:r w:rsidRPr="005A30C9">
        <w:rPr>
          <w:rFonts w:hAnsi="Calibri" w:cs="Calibri"/>
          <w:sz w:val="22"/>
          <w:szCs w:val="22"/>
          <w:lang w:val="en-US"/>
        </w:rPr>
        <w:t>art. 43, pár. 1.</w:t>
      </w:r>
    </w:p>
  </w:footnote>
  <w:footnote w:id="20">
    <w:p w:rsidR="00D529C5" w:rsidRDefault="00D529C5" w:rsidP="005A30C9">
      <w:pPr>
        <w:pStyle w:val="FootnoteText"/>
        <w:jc w:val="both"/>
      </w:pPr>
      <w:r w:rsidRPr="005A30C9">
        <w:rPr>
          <w:rStyle w:val="FootnoteReference"/>
          <w:sz w:val="22"/>
          <w:szCs w:val="22"/>
        </w:rPr>
        <w:footnoteRef/>
      </w:r>
      <w:r w:rsidRPr="005A30C9">
        <w:rPr>
          <w:sz w:val="22"/>
          <w:szCs w:val="22"/>
          <w:lang w:val="en-US"/>
        </w:rPr>
        <w:t xml:space="preserve"> </w:t>
      </w:r>
      <w:r>
        <w:rPr>
          <w:rFonts w:hAnsi="Calibri" w:cs="Calibri"/>
          <w:sz w:val="22"/>
          <w:szCs w:val="22"/>
          <w:lang w:val="en-US"/>
        </w:rPr>
        <w:t>Ob. cit. Nota 1</w:t>
      </w:r>
      <w:r w:rsidRPr="005A30C9">
        <w:rPr>
          <w:rFonts w:hAnsi="Calibri" w:cs="Calibri"/>
          <w:sz w:val="22"/>
          <w:szCs w:val="22"/>
          <w:lang w:val="en-US"/>
        </w:rPr>
        <w:t xml:space="preserve"> art. 44.</w:t>
      </w:r>
    </w:p>
  </w:footnote>
  <w:footnote w:id="21">
    <w:p w:rsidR="00D529C5" w:rsidRDefault="00D529C5" w:rsidP="005A30C9">
      <w:pPr>
        <w:pStyle w:val="FootnoteText"/>
        <w:jc w:val="both"/>
      </w:pPr>
      <w:r w:rsidRPr="005A30C9">
        <w:rPr>
          <w:rStyle w:val="FootnoteReference"/>
          <w:rFonts w:hAnsi="Calibri" w:cs="Calibri"/>
          <w:sz w:val="22"/>
          <w:szCs w:val="22"/>
        </w:rPr>
        <w:footnoteRef/>
      </w:r>
      <w:r w:rsidRPr="005A30C9">
        <w:rPr>
          <w:rFonts w:hAnsi="Calibri" w:cs="Calibri"/>
          <w:sz w:val="22"/>
          <w:szCs w:val="22"/>
          <w:lang w:val="en-US"/>
        </w:rPr>
        <w:t xml:space="preserve"> </w:t>
      </w:r>
      <w:r>
        <w:rPr>
          <w:rFonts w:hAnsi="Calibri" w:cs="Calibri"/>
          <w:sz w:val="22"/>
          <w:szCs w:val="22"/>
          <w:lang w:val="en-US"/>
        </w:rPr>
        <w:t xml:space="preserve">Ob. cit. </w:t>
      </w:r>
      <w:r w:rsidRPr="006F5ACC">
        <w:rPr>
          <w:rFonts w:hAnsi="Calibri" w:cs="Calibri"/>
          <w:sz w:val="22"/>
          <w:szCs w:val="22"/>
          <w:lang w:val="en-US"/>
        </w:rPr>
        <w:t>Nota 1 art. 139, pár. 1.</w:t>
      </w:r>
    </w:p>
  </w:footnote>
  <w:footnote w:id="22">
    <w:p w:rsidR="00D529C5" w:rsidRDefault="00D529C5" w:rsidP="00116937">
      <w:pPr>
        <w:pStyle w:val="FootnoteText"/>
        <w:jc w:val="both"/>
      </w:pPr>
      <w:r w:rsidRPr="005A30C9">
        <w:rPr>
          <w:rStyle w:val="FootnoteReference"/>
          <w:rFonts w:hAnsi="Calibri" w:cs="Calibri"/>
          <w:sz w:val="22"/>
          <w:szCs w:val="22"/>
        </w:rPr>
        <w:footnoteRef/>
      </w:r>
      <w:r w:rsidRPr="006F5ACC">
        <w:rPr>
          <w:rFonts w:hAnsi="Calibri" w:cs="Calibri"/>
          <w:sz w:val="22"/>
          <w:szCs w:val="22"/>
          <w:lang w:val="en-US"/>
        </w:rPr>
        <w:t xml:space="preserve"> Ob. cit. </w:t>
      </w:r>
      <w:r>
        <w:rPr>
          <w:rFonts w:hAnsi="Calibri" w:cs="Calibri"/>
          <w:sz w:val="22"/>
          <w:szCs w:val="22"/>
          <w:lang w:val="en-US"/>
        </w:rPr>
        <w:t>Nota 1</w:t>
      </w:r>
      <w:r w:rsidRPr="006F5ACC">
        <w:rPr>
          <w:rFonts w:hAnsi="Calibri" w:cs="Calibri"/>
          <w:sz w:val="22"/>
          <w:szCs w:val="22"/>
          <w:lang w:val="en-US"/>
        </w:rPr>
        <w:t xml:space="preserve"> art. 139, pár. 2.</w:t>
      </w:r>
    </w:p>
  </w:footnote>
  <w:footnote w:id="23">
    <w:p w:rsidR="00D529C5" w:rsidRDefault="00D529C5" w:rsidP="005A30C9">
      <w:pPr>
        <w:pStyle w:val="FootnoteText"/>
        <w:jc w:val="both"/>
      </w:pPr>
      <w:r w:rsidRPr="005A30C9">
        <w:rPr>
          <w:rStyle w:val="FootnoteReference"/>
          <w:rFonts w:hAnsi="Calibri" w:cs="Calibri"/>
          <w:sz w:val="22"/>
          <w:szCs w:val="22"/>
        </w:rPr>
        <w:footnoteRef/>
      </w:r>
      <w:r w:rsidRPr="005A30C9">
        <w:rPr>
          <w:rFonts w:hAnsi="Calibri" w:cs="Calibri"/>
          <w:sz w:val="22"/>
          <w:szCs w:val="22"/>
        </w:rPr>
        <w:t xml:space="preserve"> Grupo de Enlace AFIP – DGI/CPCECABA de la Reunión del 27/05/2009, [en línea] </w:t>
      </w:r>
      <w:hyperlink r:id="rId2" w:history="1">
        <w:r w:rsidRPr="005A30C9">
          <w:rPr>
            <w:rStyle w:val="Hyperlink"/>
            <w:rFonts w:hAnsi="Calibri" w:cs="Calibri"/>
            <w:sz w:val="22"/>
            <w:szCs w:val="22"/>
          </w:rPr>
          <w:t>http://www.consejo.org.ar/impuestos/genlace/genlace09/enlace_2705.htm</w:t>
        </w:r>
      </w:hyperlink>
    </w:p>
  </w:footnote>
  <w:footnote w:id="24">
    <w:p w:rsidR="00D529C5" w:rsidRDefault="00D529C5" w:rsidP="005A30C9">
      <w:pPr>
        <w:pStyle w:val="FootnoteText"/>
        <w:jc w:val="both"/>
      </w:pPr>
      <w:r w:rsidRPr="005A30C9">
        <w:rPr>
          <w:rStyle w:val="FootnoteReference"/>
          <w:rFonts w:hAnsi="Calibri" w:cs="Calibri"/>
          <w:sz w:val="22"/>
          <w:szCs w:val="22"/>
        </w:rPr>
        <w:footnoteRef/>
      </w:r>
      <w:r w:rsidRPr="00221E83">
        <w:rPr>
          <w:rFonts w:hAnsi="Calibri" w:cs="Calibri"/>
          <w:sz w:val="22"/>
          <w:szCs w:val="22"/>
          <w:lang w:val="en-US"/>
        </w:rPr>
        <w:t xml:space="preserve"> </w:t>
      </w:r>
      <w:r>
        <w:rPr>
          <w:rFonts w:hAnsi="Calibri" w:cs="Calibri"/>
          <w:sz w:val="22"/>
          <w:szCs w:val="22"/>
          <w:lang w:val="en-US"/>
        </w:rPr>
        <w:t xml:space="preserve">Ob. cit. Nota 1 </w:t>
      </w:r>
      <w:r w:rsidRPr="00221E83">
        <w:rPr>
          <w:rFonts w:hAnsi="Calibri" w:cs="Calibri"/>
          <w:sz w:val="22"/>
          <w:szCs w:val="22"/>
          <w:lang w:val="en-US"/>
        </w:rPr>
        <w:t>art. 17 pár. 4.</w:t>
      </w:r>
    </w:p>
  </w:footnote>
  <w:footnote w:id="25">
    <w:p w:rsidR="00D529C5" w:rsidRPr="005A30C9" w:rsidRDefault="00D529C5" w:rsidP="005A30C9">
      <w:pPr>
        <w:pStyle w:val="FootnoteText"/>
        <w:jc w:val="both"/>
        <w:rPr>
          <w:rFonts w:hAnsi="Calibri" w:cs="Calibri"/>
          <w:sz w:val="22"/>
          <w:szCs w:val="22"/>
        </w:rPr>
      </w:pPr>
      <w:r w:rsidRPr="005A30C9">
        <w:rPr>
          <w:rStyle w:val="FootnoteReference"/>
          <w:rFonts w:hAnsi="Calibri" w:cs="Calibri"/>
          <w:sz w:val="22"/>
          <w:szCs w:val="22"/>
        </w:rPr>
        <w:footnoteRef/>
      </w:r>
      <w:r w:rsidRPr="005A30C9">
        <w:rPr>
          <w:rFonts w:hAnsi="Calibri" w:cs="Calibri"/>
          <w:sz w:val="22"/>
          <w:szCs w:val="22"/>
        </w:rPr>
        <w:t xml:space="preserve"> Anexo I Comisión de Enlace AFIP - DGI/CPCECABA Reunión del 05/09/2011[en línea]</w:t>
      </w:r>
    </w:p>
    <w:p w:rsidR="00D529C5" w:rsidRDefault="00D529C5" w:rsidP="005A30C9">
      <w:pPr>
        <w:pStyle w:val="ListParagraph"/>
        <w:spacing w:after="0" w:line="240" w:lineRule="auto"/>
        <w:ind w:left="0"/>
        <w:jc w:val="both"/>
      </w:pPr>
      <w:hyperlink r:id="rId3" w:history="1">
        <w:r w:rsidRPr="005A30C9">
          <w:rPr>
            <w:rStyle w:val="Hyperlink"/>
            <w:rFonts w:hAnsi="Calibri" w:cs="Calibri"/>
          </w:rPr>
          <w:t>http://biblioteca.afip.gob.ar/estaticos/enlaces/CONSEJO_AFIP_05_09_11.pdf</w:t>
        </w:r>
      </w:hyperlink>
    </w:p>
  </w:footnote>
  <w:footnote w:id="26">
    <w:p w:rsidR="00D529C5" w:rsidRPr="005A30C9" w:rsidRDefault="00D529C5" w:rsidP="005A30C9">
      <w:pPr>
        <w:pStyle w:val="FootnoteText"/>
        <w:jc w:val="both"/>
        <w:rPr>
          <w:rFonts w:hAnsi="Calibri" w:cs="Calibri"/>
          <w:sz w:val="22"/>
          <w:szCs w:val="22"/>
        </w:rPr>
      </w:pPr>
      <w:r w:rsidRPr="005A30C9">
        <w:rPr>
          <w:rStyle w:val="FootnoteReference"/>
          <w:rFonts w:hAnsi="Calibri" w:cs="Calibri"/>
          <w:sz w:val="22"/>
          <w:szCs w:val="22"/>
        </w:rPr>
        <w:footnoteRef/>
      </w:r>
      <w:r w:rsidRPr="005A30C9">
        <w:rPr>
          <w:rFonts w:hAnsi="Calibri" w:cs="Calibri"/>
          <w:sz w:val="22"/>
          <w:szCs w:val="22"/>
        </w:rPr>
        <w:t xml:space="preserve"> Anexo I Comisión de Enlace AFIP - DGI/CPCECABA, Reunión del 24/10/2007 [en línea]</w:t>
      </w:r>
    </w:p>
    <w:p w:rsidR="00D529C5" w:rsidRDefault="00D529C5" w:rsidP="005A30C9">
      <w:pPr>
        <w:pStyle w:val="FootnoteText"/>
        <w:jc w:val="both"/>
      </w:pPr>
      <w:hyperlink r:id="rId4" w:history="1">
        <w:r w:rsidRPr="005A30C9">
          <w:rPr>
            <w:rStyle w:val="Hyperlink"/>
            <w:rFonts w:hAnsi="Calibri" w:cs="Calibri"/>
            <w:sz w:val="22"/>
            <w:szCs w:val="22"/>
          </w:rPr>
          <w:t>http://biblioteca.afip.gob.ar/estaticos/enlaces/CONSEJO_AFIP_24_10_07.pdf</w:t>
        </w:r>
      </w:hyperlink>
    </w:p>
  </w:footnote>
  <w:footnote w:id="27">
    <w:p w:rsidR="00D529C5" w:rsidRDefault="00D529C5" w:rsidP="005A30C9">
      <w:pPr>
        <w:pStyle w:val="FootnoteText"/>
        <w:jc w:val="both"/>
      </w:pPr>
      <w:r w:rsidRPr="005A30C9">
        <w:rPr>
          <w:rStyle w:val="FootnoteReference"/>
          <w:rFonts w:hAnsi="Calibri" w:cs="Calibri"/>
          <w:sz w:val="22"/>
          <w:szCs w:val="22"/>
        </w:rPr>
        <w:footnoteRef/>
      </w:r>
      <w:r w:rsidRPr="00E116AF">
        <w:rPr>
          <w:rFonts w:hAnsi="Calibri" w:cs="Calibri"/>
          <w:sz w:val="22"/>
          <w:szCs w:val="22"/>
          <w:lang w:val="en-US"/>
        </w:rPr>
        <w:t xml:space="preserve"> </w:t>
      </w:r>
      <w:r>
        <w:rPr>
          <w:rFonts w:hAnsi="Calibri" w:cs="Calibri"/>
          <w:sz w:val="22"/>
          <w:szCs w:val="22"/>
          <w:lang w:val="en-US"/>
        </w:rPr>
        <w:t>Ob. cit. Nota 1</w:t>
      </w:r>
      <w:r w:rsidRPr="00E116AF">
        <w:rPr>
          <w:rFonts w:hAnsi="Calibri" w:cs="Calibri"/>
          <w:sz w:val="22"/>
          <w:szCs w:val="22"/>
          <w:lang w:val="en-US"/>
        </w:rPr>
        <w:t xml:space="preserve"> art. 162 pár 1.</w:t>
      </w:r>
    </w:p>
  </w:footnote>
  <w:footnote w:id="28">
    <w:p w:rsidR="00D529C5" w:rsidRDefault="00D529C5" w:rsidP="005A30C9">
      <w:pPr>
        <w:pStyle w:val="FootnoteText"/>
        <w:jc w:val="both"/>
      </w:pPr>
      <w:r w:rsidRPr="007841CC">
        <w:rPr>
          <w:rStyle w:val="FootnoteReference"/>
          <w:rFonts w:hAnsi="Calibri" w:cs="Calibri"/>
          <w:sz w:val="22"/>
          <w:szCs w:val="22"/>
        </w:rPr>
        <w:footnoteRef/>
      </w:r>
      <w:r w:rsidRPr="00A01201">
        <w:rPr>
          <w:rFonts w:hAnsi="Calibri" w:cs="Calibri"/>
          <w:sz w:val="22"/>
          <w:szCs w:val="22"/>
          <w:lang w:val="en-US"/>
        </w:rPr>
        <w:t xml:space="preserve"> </w:t>
      </w:r>
      <w:r>
        <w:rPr>
          <w:rFonts w:hAnsi="Calibri" w:cs="Calibri"/>
          <w:sz w:val="22"/>
          <w:szCs w:val="22"/>
          <w:lang w:val="en-US"/>
        </w:rPr>
        <w:t xml:space="preserve">Ob. cit. Nota 1 </w:t>
      </w:r>
      <w:r w:rsidRPr="00A01201">
        <w:rPr>
          <w:rFonts w:hAnsi="Calibri" w:cs="Calibri"/>
          <w:sz w:val="22"/>
          <w:szCs w:val="22"/>
          <w:lang w:val="en-US"/>
        </w:rPr>
        <w:t>art. 85 pár 1.</w:t>
      </w:r>
    </w:p>
  </w:footnote>
  <w:footnote w:id="29">
    <w:p w:rsidR="00D529C5" w:rsidRDefault="00D529C5" w:rsidP="005A30C9">
      <w:pPr>
        <w:pStyle w:val="FootnoteText"/>
        <w:jc w:val="both"/>
      </w:pPr>
      <w:r w:rsidRPr="007841CC">
        <w:rPr>
          <w:rStyle w:val="FootnoteReference"/>
          <w:rFonts w:hAnsi="Calibri" w:cs="Calibri"/>
          <w:sz w:val="22"/>
          <w:szCs w:val="22"/>
        </w:rPr>
        <w:footnoteRef/>
      </w:r>
      <w:r w:rsidRPr="00A01201">
        <w:rPr>
          <w:rFonts w:hAnsi="Calibri" w:cs="Calibri"/>
          <w:sz w:val="22"/>
          <w:szCs w:val="22"/>
          <w:lang w:val="en-US"/>
        </w:rPr>
        <w:t xml:space="preserve"> </w:t>
      </w:r>
      <w:r>
        <w:rPr>
          <w:rFonts w:hAnsi="Calibri" w:cs="Calibri"/>
          <w:sz w:val="22"/>
          <w:szCs w:val="22"/>
          <w:lang w:val="en-US"/>
        </w:rPr>
        <w:t xml:space="preserve">Ob. cit. Nota 1 </w:t>
      </w:r>
      <w:r w:rsidRPr="00A01201">
        <w:rPr>
          <w:rFonts w:hAnsi="Calibri" w:cs="Calibri"/>
          <w:sz w:val="22"/>
          <w:szCs w:val="22"/>
          <w:lang w:val="en-US"/>
        </w:rPr>
        <w:t>art. 85 pár 2.</w:t>
      </w:r>
    </w:p>
  </w:footnote>
  <w:footnote w:id="30">
    <w:p w:rsidR="00D529C5" w:rsidRDefault="00D529C5" w:rsidP="003D4480">
      <w:pPr>
        <w:pStyle w:val="FootnoteText"/>
        <w:jc w:val="both"/>
      </w:pPr>
      <w:r w:rsidRPr="003D4480">
        <w:rPr>
          <w:rStyle w:val="FootnoteReference"/>
          <w:rFonts w:hAnsi="Calibri" w:cs="Calibri"/>
          <w:sz w:val="22"/>
          <w:szCs w:val="22"/>
        </w:rPr>
        <w:footnoteRef/>
      </w:r>
      <w:r w:rsidRPr="003D4480">
        <w:rPr>
          <w:rFonts w:hAnsi="Calibri" w:cs="Calibri"/>
          <w:sz w:val="22"/>
          <w:szCs w:val="22"/>
          <w:lang w:val="en-US"/>
        </w:rPr>
        <w:t xml:space="preserve"> </w:t>
      </w:r>
      <w:r>
        <w:rPr>
          <w:rFonts w:hAnsi="Calibri" w:cs="Calibri"/>
          <w:sz w:val="22"/>
          <w:szCs w:val="22"/>
          <w:lang w:val="en-US"/>
        </w:rPr>
        <w:t xml:space="preserve">Ob. cit. Nota 1 </w:t>
      </w:r>
      <w:r w:rsidRPr="003D4480">
        <w:rPr>
          <w:rFonts w:hAnsi="Calibri" w:cs="Calibri"/>
          <w:sz w:val="22"/>
          <w:szCs w:val="22"/>
          <w:lang w:val="en-US"/>
        </w:rPr>
        <w:t>art. 85 pár 3.</w:t>
      </w:r>
    </w:p>
  </w:footnote>
  <w:footnote w:id="31">
    <w:p w:rsidR="00D529C5" w:rsidRDefault="00D529C5" w:rsidP="003D4480">
      <w:pPr>
        <w:pStyle w:val="FootnoteText"/>
        <w:jc w:val="both"/>
      </w:pPr>
      <w:r w:rsidRPr="003D4480">
        <w:rPr>
          <w:rStyle w:val="FootnoteReference"/>
          <w:rFonts w:hAnsi="Calibri" w:cs="Calibri"/>
          <w:sz w:val="22"/>
          <w:szCs w:val="22"/>
        </w:rPr>
        <w:footnoteRef/>
      </w:r>
      <w:r w:rsidRPr="003D4480">
        <w:rPr>
          <w:rFonts w:hAnsi="Calibri" w:cs="Calibri"/>
          <w:sz w:val="22"/>
          <w:szCs w:val="22"/>
          <w:lang w:val="en-US"/>
        </w:rPr>
        <w:t xml:space="preserve"> </w:t>
      </w:r>
      <w:r>
        <w:rPr>
          <w:rFonts w:hAnsi="Calibri" w:cs="Calibri"/>
          <w:sz w:val="22"/>
          <w:szCs w:val="22"/>
          <w:lang w:val="en-US"/>
        </w:rPr>
        <w:t xml:space="preserve">Ob. cit. Nota 1 </w:t>
      </w:r>
      <w:r w:rsidRPr="003D4480">
        <w:rPr>
          <w:rFonts w:hAnsi="Calibri" w:cs="Calibri"/>
          <w:sz w:val="22"/>
          <w:szCs w:val="22"/>
          <w:lang w:val="en-US"/>
        </w:rPr>
        <w:t xml:space="preserve"> art. 85 pár 4.</w:t>
      </w:r>
    </w:p>
  </w:footnote>
  <w:footnote w:id="32">
    <w:p w:rsidR="00D529C5" w:rsidRDefault="00D529C5" w:rsidP="003D4480">
      <w:pPr>
        <w:spacing w:after="0" w:line="240" w:lineRule="auto"/>
        <w:jc w:val="both"/>
      </w:pPr>
      <w:r w:rsidRPr="003D4480">
        <w:rPr>
          <w:rStyle w:val="FootnoteReference"/>
          <w:rFonts w:hAnsi="Calibri" w:cs="Calibri"/>
        </w:rPr>
        <w:footnoteRef/>
      </w:r>
      <w:r w:rsidRPr="003D4480">
        <w:rPr>
          <w:rFonts w:hAnsi="Calibri" w:cs="Calibri"/>
        </w:rPr>
        <w:t xml:space="preserve"> AFIP DGI; Dirección de Asesoría Técnica (DAT); Dictamen 43/2004, del 15/07/2004. Disponible en Base de Datos </w:t>
      </w:r>
      <w:r w:rsidRPr="003D4480">
        <w:rPr>
          <w:rFonts w:hAnsi="Calibri" w:cs="Calibri"/>
          <w:i/>
        </w:rPr>
        <w:t>AFIP Biblioteca Electrónica</w:t>
      </w:r>
      <w:r w:rsidRPr="003D4480">
        <w:rPr>
          <w:rFonts w:hAnsi="Calibri" w:cs="Calibri"/>
        </w:rPr>
        <w:t>.</w:t>
      </w:r>
    </w:p>
  </w:footnote>
  <w:footnote w:id="33">
    <w:p w:rsidR="00D529C5" w:rsidRDefault="00D529C5" w:rsidP="003D4480">
      <w:pPr>
        <w:pStyle w:val="FootnoteText"/>
        <w:jc w:val="both"/>
      </w:pPr>
      <w:r w:rsidRPr="003D4480">
        <w:rPr>
          <w:rStyle w:val="FootnoteReference"/>
          <w:rFonts w:hAnsi="Calibri" w:cs="Calibri"/>
          <w:sz w:val="22"/>
          <w:szCs w:val="22"/>
        </w:rPr>
        <w:footnoteRef/>
      </w:r>
      <w:r w:rsidRPr="003D4480">
        <w:rPr>
          <w:rFonts w:hAnsi="Calibri" w:cs="Calibri"/>
          <w:sz w:val="22"/>
          <w:szCs w:val="22"/>
        </w:rPr>
        <w:t xml:space="preserve"> Conforme, </w:t>
      </w:r>
      <w:r>
        <w:rPr>
          <w:rFonts w:hAnsi="Calibri" w:cs="Calibri"/>
          <w:sz w:val="22"/>
          <w:szCs w:val="22"/>
        </w:rPr>
        <w:t xml:space="preserve">Ob. Cit. Nota 1 </w:t>
      </w:r>
      <w:r w:rsidRPr="003D4480">
        <w:rPr>
          <w:rFonts w:hAnsi="Calibri" w:cs="Calibri"/>
          <w:sz w:val="22"/>
          <w:szCs w:val="22"/>
        </w:rPr>
        <w:t>art 67, pár 2 y 3.</w:t>
      </w:r>
    </w:p>
  </w:footnote>
  <w:footnote w:id="34">
    <w:p w:rsidR="00D529C5" w:rsidRDefault="00D529C5" w:rsidP="003D4480">
      <w:pPr>
        <w:spacing w:after="0" w:line="240" w:lineRule="auto"/>
        <w:jc w:val="both"/>
      </w:pPr>
      <w:r w:rsidRPr="003D4480">
        <w:rPr>
          <w:rStyle w:val="FootnoteReference"/>
          <w:rFonts w:hAnsi="Calibri" w:cs="Calibri"/>
        </w:rPr>
        <w:footnoteRef/>
      </w:r>
      <w:r w:rsidRPr="003D4480">
        <w:rPr>
          <w:rFonts w:hAnsi="Calibri" w:cs="Calibri"/>
        </w:rPr>
        <w:t xml:space="preserve"> De continuarse sosteniendo esta posición, sería procedente incluir en el texto de la ley está limitación.</w:t>
      </w:r>
    </w:p>
  </w:footnote>
  <w:footnote w:id="35">
    <w:p w:rsidR="00D529C5" w:rsidRDefault="00D529C5" w:rsidP="003D4480">
      <w:pPr>
        <w:pStyle w:val="FootnoteText"/>
        <w:jc w:val="both"/>
      </w:pPr>
      <w:r w:rsidRPr="003D4480">
        <w:rPr>
          <w:rStyle w:val="FootnoteReference"/>
          <w:sz w:val="22"/>
          <w:szCs w:val="22"/>
        </w:rPr>
        <w:footnoteRef/>
      </w:r>
      <w:r w:rsidRPr="003D4480">
        <w:rPr>
          <w:sz w:val="22"/>
          <w:szCs w:val="22"/>
        </w:rPr>
        <w:t xml:space="preserve"> Ley 27.260, (B.O. 22/07/2016).</w:t>
      </w:r>
      <w:r w:rsidRPr="003D4480">
        <w:rPr>
          <w:rFonts w:hAnsi="Calibri" w:cs="Calibri"/>
          <w:sz w:val="22"/>
          <w:szCs w:val="22"/>
        </w:rPr>
        <w:t xml:space="preserve"> Disponible en Base de Datos </w:t>
      </w:r>
      <w:r w:rsidRPr="003D4480">
        <w:rPr>
          <w:rFonts w:hAnsi="Calibri" w:cs="Calibri"/>
          <w:i/>
          <w:sz w:val="22"/>
          <w:szCs w:val="22"/>
        </w:rPr>
        <w:t>Infoleg – Información Legislativa.</w:t>
      </w:r>
    </w:p>
  </w:footnote>
  <w:footnote w:id="36">
    <w:p w:rsidR="00D529C5" w:rsidRDefault="00D529C5" w:rsidP="005A30C9">
      <w:pPr>
        <w:pStyle w:val="FootnoteText"/>
        <w:jc w:val="both"/>
      </w:pPr>
      <w:r w:rsidRPr="009575F3">
        <w:rPr>
          <w:rStyle w:val="FootnoteReference"/>
          <w:rFonts w:hAnsi="Calibri" w:cs="Calibri"/>
          <w:sz w:val="22"/>
          <w:szCs w:val="22"/>
        </w:rPr>
        <w:footnoteRef/>
      </w:r>
      <w:r w:rsidRPr="009575F3">
        <w:rPr>
          <w:rFonts w:hAnsi="Calibri" w:cs="Calibri"/>
          <w:sz w:val="22"/>
          <w:szCs w:val="22"/>
        </w:rPr>
        <w:t xml:space="preserve"> Resolución General (AFIP) 3919/2016; </w:t>
      </w:r>
      <w:bookmarkStart w:id="18" w:name="_Hlk491051194"/>
      <w:r w:rsidRPr="009575F3">
        <w:rPr>
          <w:rFonts w:hAnsi="Calibri" w:cs="Calibri"/>
          <w:sz w:val="22"/>
          <w:szCs w:val="22"/>
        </w:rPr>
        <w:t>B.O. 28/07/2016</w:t>
      </w:r>
      <w:bookmarkEnd w:id="18"/>
      <w:r w:rsidRPr="009575F3">
        <w:rPr>
          <w:rFonts w:hAnsi="Calibri" w:cs="Calibri"/>
          <w:sz w:val="22"/>
          <w:szCs w:val="22"/>
        </w:rPr>
        <w:t xml:space="preserve">. Disponible en Base de Datos </w:t>
      </w:r>
      <w:r w:rsidRPr="009575F3">
        <w:rPr>
          <w:rFonts w:hAnsi="Calibri" w:cs="Calibri"/>
          <w:i/>
          <w:sz w:val="22"/>
          <w:szCs w:val="22"/>
        </w:rPr>
        <w:t>Infoleg – Información Legislativa</w:t>
      </w:r>
      <w:r>
        <w:rPr>
          <w:rFonts w:hAnsi="Calibri" w:cs="Calibri"/>
          <w:i/>
          <w:sz w:val="22"/>
          <w:szCs w:val="22"/>
        </w:rPr>
        <w:t xml:space="preserve">; </w:t>
      </w:r>
      <w:r w:rsidRPr="004D723C">
        <w:rPr>
          <w:rFonts w:hAnsi="Calibri" w:cs="Calibri"/>
          <w:sz w:val="22"/>
          <w:szCs w:val="22"/>
        </w:rPr>
        <w:t>art. 31.</w:t>
      </w:r>
    </w:p>
  </w:footnote>
  <w:footnote w:id="37">
    <w:p w:rsidR="00D529C5" w:rsidRDefault="00D529C5" w:rsidP="005A30C9">
      <w:pPr>
        <w:autoSpaceDE w:val="0"/>
        <w:autoSpaceDN w:val="0"/>
        <w:adjustRightInd w:val="0"/>
        <w:spacing w:after="0" w:line="240" w:lineRule="auto"/>
        <w:jc w:val="both"/>
      </w:pPr>
      <w:r w:rsidRPr="009575F3">
        <w:rPr>
          <w:rStyle w:val="FootnoteReference"/>
          <w:rFonts w:hAnsi="Calibri" w:cs="Calibri"/>
        </w:rPr>
        <w:footnoteRef/>
      </w:r>
      <w:r w:rsidRPr="009575F3">
        <w:rPr>
          <w:rFonts w:hAnsi="Calibri" w:cs="Calibri"/>
        </w:rPr>
        <w:t xml:space="preserve"> D</w:t>
      </w:r>
      <w:r>
        <w:rPr>
          <w:rFonts w:hAnsi="Calibri" w:cs="Calibri"/>
        </w:rPr>
        <w:t>ecreto</w:t>
      </w:r>
      <w:r w:rsidRPr="009575F3">
        <w:rPr>
          <w:rFonts w:hAnsi="Calibri" w:cs="Calibri"/>
        </w:rPr>
        <w:t xml:space="preserve"> 895/</w:t>
      </w:r>
      <w:r>
        <w:rPr>
          <w:rFonts w:hAnsi="Calibri" w:cs="Calibri"/>
        </w:rPr>
        <w:t>20</w:t>
      </w:r>
      <w:r w:rsidRPr="009575F3">
        <w:rPr>
          <w:rFonts w:hAnsi="Calibri" w:cs="Calibri"/>
        </w:rPr>
        <w:t>16</w:t>
      </w:r>
      <w:r>
        <w:rPr>
          <w:rFonts w:hAnsi="Calibri" w:cs="Calibri"/>
        </w:rPr>
        <w:t>;</w:t>
      </w:r>
      <w:r w:rsidRPr="009575F3">
        <w:rPr>
          <w:rFonts w:hAnsi="Calibri" w:cs="Calibri"/>
        </w:rPr>
        <w:t xml:space="preserve"> B.O. 28/07/2016</w:t>
      </w:r>
      <w:r>
        <w:rPr>
          <w:rFonts w:hAnsi="Calibri" w:cs="Calibri"/>
        </w:rPr>
        <w:t xml:space="preserve">; </w:t>
      </w:r>
      <w:r w:rsidRPr="009575F3">
        <w:rPr>
          <w:rFonts w:hAnsi="Calibri" w:cs="Calibri"/>
        </w:rPr>
        <w:t xml:space="preserve">Disponible en Base de Datos </w:t>
      </w:r>
      <w:r w:rsidRPr="009575F3">
        <w:rPr>
          <w:rFonts w:hAnsi="Calibri" w:cs="Calibri"/>
          <w:i/>
        </w:rPr>
        <w:t>Infoleg – Información Legislativa</w:t>
      </w:r>
      <w:r>
        <w:rPr>
          <w:rFonts w:hAnsi="Calibri" w:cs="Calibri"/>
          <w:i/>
        </w:rPr>
        <w:t xml:space="preserve">; </w:t>
      </w:r>
      <w:r>
        <w:rPr>
          <w:rFonts w:hAnsi="Calibri" w:cs="Calibri"/>
        </w:rPr>
        <w:t>art.</w:t>
      </w:r>
      <w:r w:rsidRPr="009575F3">
        <w:rPr>
          <w:rFonts w:hAnsi="Calibri" w:cs="Calibri"/>
          <w:lang w:val="es-ES"/>
        </w:rPr>
        <w:t xml:space="preserve"> 5</w:t>
      </w:r>
      <w:r>
        <w:rPr>
          <w:rFonts w:hAnsi="Calibri" w:cs="Calibri"/>
          <w:lang w:val="es-ES"/>
        </w:rPr>
        <w:t xml:space="preserve">, </w:t>
      </w:r>
      <w:r w:rsidRPr="005A30C9">
        <w:rPr>
          <w:rFonts w:hAnsi="Calibri" w:cs="Calibri"/>
          <w:i/>
          <w:lang w:val="es-ES"/>
        </w:rPr>
        <w:t>[L]a valuación de los bienes y tenencias de moneda practicada en los términos del artículo 40 de la Ley N° 27.260, constituye, a todos los efectos fiscales, el valor de incorporación al patrimonio del declarante].</w:t>
      </w:r>
    </w:p>
  </w:footnote>
  <w:footnote w:id="38">
    <w:p w:rsidR="00D529C5" w:rsidRPr="009575F3" w:rsidRDefault="00D529C5" w:rsidP="005A30C9">
      <w:pPr>
        <w:spacing w:after="0" w:line="240" w:lineRule="auto"/>
        <w:jc w:val="both"/>
        <w:rPr>
          <w:rFonts w:hAnsi="Calibri" w:cs="Calibri"/>
        </w:rPr>
      </w:pPr>
      <w:r w:rsidRPr="009575F3">
        <w:rPr>
          <w:rStyle w:val="FootnoteReference"/>
          <w:rFonts w:hAnsi="Calibri" w:cs="Calibri"/>
        </w:rPr>
        <w:footnoteRef/>
      </w:r>
      <w:r w:rsidRPr="009575F3">
        <w:rPr>
          <w:rFonts w:hAnsi="Calibri" w:cs="Calibri"/>
        </w:rPr>
        <w:t xml:space="preserve"> Espacios </w:t>
      </w:r>
      <w:r>
        <w:rPr>
          <w:rFonts w:hAnsi="Calibri" w:cs="Calibri"/>
        </w:rPr>
        <w:t>d</w:t>
      </w:r>
      <w:r w:rsidRPr="009575F3">
        <w:rPr>
          <w:rFonts w:hAnsi="Calibri" w:cs="Calibri"/>
        </w:rPr>
        <w:t>e Dialogo AFIP – CPCECABA 27/4/2017 [en línea]</w:t>
      </w:r>
    </w:p>
    <w:p w:rsidR="00D529C5" w:rsidRDefault="00D529C5" w:rsidP="005A30C9">
      <w:pPr>
        <w:spacing w:after="0" w:line="240" w:lineRule="auto"/>
        <w:jc w:val="both"/>
      </w:pPr>
      <w:hyperlink r:id="rId5" w:history="1">
        <w:r w:rsidRPr="009575F3">
          <w:rPr>
            <w:rStyle w:val="Hyperlink"/>
            <w:rFonts w:hAnsi="Calibri" w:cs="Calibri"/>
          </w:rPr>
          <w:t>http://www.afip.gob.ar/EspaciosdeDialogoInstitucional/documentos/Acta14EspaciodeDialogoAFIP-CPCECABA%2027-04-2017.pdf</w:t>
        </w:r>
      </w:hyperlink>
    </w:p>
  </w:footnote>
  <w:footnote w:id="39">
    <w:p w:rsidR="00D529C5" w:rsidRPr="005A30C9" w:rsidRDefault="00D529C5" w:rsidP="005A30C9">
      <w:pPr>
        <w:pStyle w:val="FootnoteText"/>
        <w:jc w:val="both"/>
        <w:rPr>
          <w:rFonts w:hAnsi="Calibri" w:cs="Calibri"/>
          <w:sz w:val="22"/>
          <w:szCs w:val="22"/>
        </w:rPr>
      </w:pPr>
      <w:r w:rsidRPr="005A30C9">
        <w:rPr>
          <w:rStyle w:val="FootnoteReference"/>
          <w:rFonts w:hAnsi="Calibri" w:cs="Calibri"/>
          <w:sz w:val="22"/>
          <w:szCs w:val="22"/>
        </w:rPr>
        <w:footnoteRef/>
      </w:r>
      <w:r w:rsidRPr="005A30C9">
        <w:rPr>
          <w:rFonts w:hAnsi="Calibri" w:cs="Calibri"/>
          <w:sz w:val="22"/>
          <w:szCs w:val="22"/>
        </w:rPr>
        <w:t xml:space="preserve"> Respuestas a Consultas del Ciclo de Actualidad Tributaria del 17/05/2017 [en línea]</w:t>
      </w:r>
    </w:p>
    <w:p w:rsidR="00D529C5" w:rsidRDefault="00D529C5" w:rsidP="005A30C9">
      <w:pPr>
        <w:pStyle w:val="FootnoteText"/>
        <w:jc w:val="both"/>
      </w:pPr>
      <w:hyperlink r:id="rId6" w:history="1">
        <w:r w:rsidRPr="005A30C9">
          <w:rPr>
            <w:rStyle w:val="Hyperlink"/>
            <w:rFonts w:hAnsi="Calibri" w:cs="Calibri"/>
            <w:sz w:val="22"/>
            <w:szCs w:val="22"/>
          </w:rPr>
          <w:t>http://www.consejo.org.ar/noticias17/files/actualidad_120617.pdf</w:t>
        </w:r>
      </w:hyperlink>
    </w:p>
  </w:footnote>
  <w:footnote w:id="40">
    <w:p w:rsidR="00D529C5" w:rsidRDefault="00D529C5" w:rsidP="002C73B9">
      <w:pPr>
        <w:pStyle w:val="FootnoteText"/>
        <w:jc w:val="both"/>
      </w:pPr>
      <w:r w:rsidRPr="002C73B9">
        <w:rPr>
          <w:rStyle w:val="FootnoteReference"/>
          <w:rFonts w:hAnsi="Calibri" w:cs="Calibri"/>
          <w:sz w:val="22"/>
          <w:szCs w:val="22"/>
        </w:rPr>
        <w:footnoteRef/>
      </w:r>
      <w:r w:rsidRPr="002C73B9">
        <w:rPr>
          <w:rFonts w:hAnsi="Calibri" w:cs="Calibri"/>
          <w:sz w:val="22"/>
          <w:szCs w:val="22"/>
        </w:rPr>
        <w:t xml:space="preserve"> Espacio Consultivo AFIP - CPCECABA Grupo de Enlace Temario – Reunión del 22/06/2016 </w:t>
      </w:r>
      <w:hyperlink r:id="rId7" w:history="1">
        <w:r w:rsidRPr="002C73B9">
          <w:rPr>
            <w:rStyle w:val="Hyperlink"/>
            <w:rFonts w:hAnsi="Calibri" w:cs="Calibri"/>
            <w:sz w:val="22"/>
            <w:szCs w:val="22"/>
          </w:rPr>
          <w:t>http://www.consejo.org.ar/noticias16/files/Enlace_AFIP-Consejo_22-06-2016.pdf</w:t>
        </w:r>
      </w:hyperlink>
    </w:p>
  </w:footnote>
  <w:footnote w:id="41">
    <w:p w:rsidR="00D529C5" w:rsidRDefault="00D529C5" w:rsidP="002C73B9">
      <w:pPr>
        <w:pStyle w:val="Heading2"/>
        <w:spacing w:before="0" w:beforeAutospacing="0" w:after="0" w:afterAutospacing="0"/>
        <w:jc w:val="both"/>
      </w:pPr>
      <w:r w:rsidRPr="002C73B9">
        <w:rPr>
          <w:rStyle w:val="FootnoteReference"/>
          <w:rFonts w:cs="Calibri"/>
          <w:b w:val="0"/>
          <w:sz w:val="22"/>
          <w:szCs w:val="22"/>
        </w:rPr>
        <w:footnoteRef/>
      </w:r>
      <w:r w:rsidRPr="002C73B9">
        <w:rPr>
          <w:b w:val="0"/>
          <w:sz w:val="22"/>
          <w:szCs w:val="22"/>
        </w:rPr>
        <w:t xml:space="preserve"> Convenio para evitar la doble imposición y prevenir la evasión fiscal con respecto a los impuestos sobre la renta entre la República Argentina y la República Federativa del Brasil. </w:t>
      </w:r>
      <w:r w:rsidRPr="002C73B9">
        <w:rPr>
          <w:b w:val="0"/>
          <w:color w:val="000000"/>
          <w:sz w:val="22"/>
          <w:szCs w:val="22"/>
        </w:rPr>
        <w:t>Ley 22.675, B.O. 17/11/1982.</w:t>
      </w:r>
      <w:r w:rsidRPr="002C73B9">
        <w:rPr>
          <w:b w:val="0"/>
          <w:sz w:val="22"/>
          <w:szCs w:val="22"/>
        </w:rPr>
        <w:t xml:space="preserve"> [en línea] </w:t>
      </w:r>
      <w:hyperlink r:id="rId8" w:history="1">
        <w:r w:rsidRPr="002C73B9">
          <w:rPr>
            <w:rStyle w:val="Hyperlink"/>
            <w:rFonts w:cs="Calibri"/>
            <w:b w:val="0"/>
            <w:sz w:val="22"/>
            <w:szCs w:val="22"/>
          </w:rPr>
          <w:t>http://biblioteca.afip.gob.ar/dcp/ley_c_022675_1982_11_12</w:t>
        </w:r>
      </w:hyperlink>
    </w:p>
  </w:footnote>
  <w:footnote w:id="42">
    <w:p w:rsidR="00D529C5" w:rsidRDefault="00D529C5" w:rsidP="002C73B9">
      <w:pPr>
        <w:pStyle w:val="FootnoteText"/>
        <w:jc w:val="both"/>
      </w:pPr>
      <w:r w:rsidRPr="002C73B9">
        <w:rPr>
          <w:rStyle w:val="FootnoteReference"/>
          <w:rFonts w:hAnsi="Calibri" w:cs="Calibri"/>
          <w:sz w:val="22"/>
          <w:szCs w:val="22"/>
        </w:rPr>
        <w:footnoteRef/>
      </w:r>
      <w:r w:rsidRPr="00082636">
        <w:rPr>
          <w:rFonts w:hAnsi="Calibri" w:cs="Calibri"/>
          <w:sz w:val="22"/>
          <w:szCs w:val="22"/>
          <w:lang w:val="en-US"/>
        </w:rPr>
        <w:t xml:space="preserve"> </w:t>
      </w:r>
      <w:r>
        <w:rPr>
          <w:rFonts w:hAnsi="Calibri" w:cs="Calibri"/>
          <w:sz w:val="22"/>
          <w:szCs w:val="22"/>
          <w:lang w:val="en-US"/>
        </w:rPr>
        <w:t>Ob. cit. Nota 40</w:t>
      </w:r>
      <w:r w:rsidRPr="00082636">
        <w:rPr>
          <w:rFonts w:hAnsi="Calibri" w:cs="Calibri"/>
          <w:sz w:val="22"/>
          <w:szCs w:val="22"/>
          <w:lang w:val="en-US"/>
        </w:rPr>
        <w:t xml:space="preserve"> art. 10, ap. 1.</w:t>
      </w:r>
    </w:p>
  </w:footnote>
  <w:footnote w:id="43">
    <w:p w:rsidR="00D529C5" w:rsidRDefault="00D529C5" w:rsidP="002C73B9">
      <w:pPr>
        <w:pStyle w:val="FootnoteText"/>
        <w:jc w:val="both"/>
      </w:pPr>
      <w:r w:rsidRPr="002C73B9">
        <w:rPr>
          <w:rStyle w:val="FootnoteReference"/>
          <w:rFonts w:hAnsi="Calibri" w:cs="Calibri"/>
          <w:sz w:val="22"/>
          <w:szCs w:val="22"/>
        </w:rPr>
        <w:footnoteRef/>
      </w:r>
      <w:r w:rsidRPr="00082636">
        <w:rPr>
          <w:rFonts w:hAnsi="Calibri" w:cs="Calibri"/>
          <w:sz w:val="22"/>
          <w:szCs w:val="22"/>
          <w:lang w:val="en-US"/>
        </w:rPr>
        <w:t xml:space="preserve"> </w:t>
      </w:r>
      <w:r>
        <w:rPr>
          <w:rFonts w:hAnsi="Calibri" w:cs="Calibri"/>
          <w:sz w:val="22"/>
          <w:szCs w:val="22"/>
          <w:lang w:val="en-US"/>
        </w:rPr>
        <w:t xml:space="preserve">Ob. cit. Nota 40 </w:t>
      </w:r>
      <w:r w:rsidRPr="00082636">
        <w:rPr>
          <w:rFonts w:hAnsi="Calibri" w:cs="Calibri"/>
          <w:sz w:val="22"/>
          <w:szCs w:val="22"/>
          <w:lang w:val="en-US"/>
        </w:rPr>
        <w:t>art. 10, ap. 2.</w:t>
      </w:r>
    </w:p>
  </w:footnote>
  <w:footnote w:id="44">
    <w:p w:rsidR="00D529C5" w:rsidRDefault="00D529C5" w:rsidP="002C73B9">
      <w:pPr>
        <w:pStyle w:val="FootnoteText"/>
        <w:jc w:val="both"/>
      </w:pPr>
      <w:r w:rsidRPr="002C73B9">
        <w:rPr>
          <w:rStyle w:val="FootnoteReference"/>
          <w:rFonts w:hAnsi="Calibri" w:cs="Calibri"/>
          <w:sz w:val="22"/>
          <w:szCs w:val="22"/>
        </w:rPr>
        <w:footnoteRef/>
      </w:r>
      <w:r w:rsidRPr="00082636">
        <w:rPr>
          <w:rFonts w:hAnsi="Calibri" w:cs="Calibri"/>
          <w:sz w:val="22"/>
          <w:szCs w:val="22"/>
          <w:lang w:val="en-US"/>
        </w:rPr>
        <w:t xml:space="preserve"> </w:t>
      </w:r>
      <w:r>
        <w:rPr>
          <w:rFonts w:hAnsi="Calibri" w:cs="Calibri"/>
          <w:sz w:val="22"/>
          <w:szCs w:val="22"/>
          <w:lang w:val="en-US"/>
        </w:rPr>
        <w:t xml:space="preserve">Ob. cit. Nota 40 </w:t>
      </w:r>
      <w:r w:rsidRPr="00082636">
        <w:rPr>
          <w:rFonts w:hAnsi="Calibri" w:cs="Calibri"/>
          <w:sz w:val="22"/>
          <w:szCs w:val="22"/>
          <w:lang w:val="en-US"/>
        </w:rPr>
        <w:t>art. 10, ap. 4.</w:t>
      </w:r>
      <w:r w:rsidRPr="00082636">
        <w:rPr>
          <w:rFonts w:hAnsi="Calibri" w:cs="Calibri"/>
          <w:color w:val="000000"/>
          <w:sz w:val="22"/>
          <w:szCs w:val="22"/>
          <w:lang w:val="en-US"/>
        </w:rPr>
        <w:t xml:space="preserve"> </w:t>
      </w:r>
      <w:r w:rsidRPr="002C73B9">
        <w:rPr>
          <w:rFonts w:hAnsi="Calibri" w:cs="Calibri"/>
          <w:i/>
          <w:color w:val="000000"/>
          <w:sz w:val="22"/>
          <w:szCs w:val="22"/>
        </w:rPr>
        <w:t>[</w:t>
      </w:r>
      <w:r w:rsidRPr="002C73B9">
        <w:rPr>
          <w:rFonts w:hAnsi="Calibri" w:cs="Calibri"/>
          <w:i/>
          <w:sz w:val="22"/>
          <w:szCs w:val="22"/>
        </w:rPr>
        <w:t>E]l término "dividendo" empleado en este artículo comprende… así como las rentas de otras participaciones sociales asimiladas a los rendimientos de las acciones por la legislación fiscal del Estado Contratante en que resida la sociedad que las distribuya]</w:t>
      </w:r>
      <w:r w:rsidRPr="002C73B9">
        <w:rPr>
          <w:rFonts w:hAnsi="Calibri" w:cs="Calibri"/>
          <w:sz w:val="22"/>
          <w:szCs w:val="22"/>
        </w:rPr>
        <w:t>.</w:t>
      </w:r>
    </w:p>
  </w:footnote>
  <w:footnote w:id="45">
    <w:p w:rsidR="00D529C5" w:rsidRDefault="00D529C5" w:rsidP="005731FD">
      <w:pPr>
        <w:spacing w:after="0" w:line="240" w:lineRule="auto"/>
        <w:jc w:val="both"/>
      </w:pPr>
      <w:r w:rsidRPr="002C73B9">
        <w:rPr>
          <w:rStyle w:val="FootnoteReference"/>
          <w:rFonts w:hAnsi="Calibri" w:cs="Calibri"/>
        </w:rPr>
        <w:footnoteRef/>
      </w:r>
      <w:r w:rsidRPr="00082636">
        <w:rPr>
          <w:rFonts w:hAnsi="Calibri" w:cs="Calibri"/>
          <w:lang w:val="en-US"/>
        </w:rPr>
        <w:t xml:space="preserve"> </w:t>
      </w:r>
      <w:r>
        <w:rPr>
          <w:rFonts w:hAnsi="Calibri" w:cs="Calibri"/>
          <w:lang w:val="en-US"/>
        </w:rPr>
        <w:t xml:space="preserve">Ob. cit. Nota 40 </w:t>
      </w:r>
      <w:r w:rsidRPr="00082636">
        <w:rPr>
          <w:rFonts w:hAnsi="Calibri" w:cs="Calibri"/>
          <w:lang w:val="en-US"/>
        </w:rPr>
        <w:t xml:space="preserve">art. 23, ap. 3. </w:t>
      </w:r>
      <w:r w:rsidRPr="002C73B9">
        <w:rPr>
          <w:rFonts w:hAnsi="Calibri" w:cs="Calibri"/>
        </w:rPr>
        <w:t>Recuérdese que conforme al</w:t>
      </w:r>
      <w:r w:rsidRPr="002C73B9">
        <w:rPr>
          <w:rFonts w:hAnsi="Calibri" w:cs="Calibri"/>
          <w:bCs/>
          <w:color w:val="000000"/>
        </w:rPr>
        <w:t xml:space="preserve"> Protocolo aclaratorio del Convenio para evitar la doble imposición y prevenir la evasión fiscal con respecto a los impuestos sobre la renta entre la República Argentina y la República Federativa del Brasil, suscripto en Buenos Aires el 17 de Mayo de 1980, art.  11</w:t>
      </w:r>
      <w:r w:rsidRPr="002C73B9">
        <w:rPr>
          <w:rFonts w:hAnsi="Calibri" w:cs="Calibri"/>
          <w:color w:val="000000"/>
        </w:rPr>
        <w:t xml:space="preserve"> se consideran procedentes de Argentina las rentas que provengan de bienes situados, colocados o utilizados económicamente en su territorio, de la realización en éste de cualquier acto o actividad susceptible de producir beneficios o de hechos ocurridos dentro de los límites del mismo.</w:t>
      </w:r>
      <w:r w:rsidRPr="002C73B9">
        <w:rPr>
          <w:rFonts w:hAnsi="Calibri" w:cs="Calibri"/>
        </w:rPr>
        <w:t xml:space="preserve"> </w:t>
      </w:r>
    </w:p>
  </w:footnote>
  <w:footnote w:id="46">
    <w:p w:rsidR="00D529C5" w:rsidRPr="002C73B9" w:rsidRDefault="00D529C5" w:rsidP="002C73B9">
      <w:pPr>
        <w:pStyle w:val="FootnoteText"/>
        <w:jc w:val="both"/>
        <w:rPr>
          <w:rFonts w:hAnsi="Calibri" w:cs="Calibri"/>
          <w:sz w:val="22"/>
          <w:szCs w:val="22"/>
        </w:rPr>
      </w:pPr>
      <w:r w:rsidRPr="002C73B9">
        <w:rPr>
          <w:rStyle w:val="FootnoteReference"/>
          <w:rFonts w:hAnsi="Calibri" w:cs="Calibri"/>
          <w:sz w:val="22"/>
          <w:szCs w:val="22"/>
        </w:rPr>
        <w:footnoteRef/>
      </w:r>
      <w:r w:rsidRPr="002C73B9">
        <w:rPr>
          <w:rFonts w:hAnsi="Calibri" w:cs="Calibri"/>
          <w:sz w:val="22"/>
          <w:szCs w:val="22"/>
        </w:rPr>
        <w:t xml:space="preserve"> Respuestas a Consultas del Ciclo de Actualidad Tributaria del 17/05/2017 [en línea]</w:t>
      </w:r>
    </w:p>
    <w:p w:rsidR="00D529C5" w:rsidRDefault="00D529C5" w:rsidP="00E52A6F">
      <w:pPr>
        <w:pStyle w:val="FootnoteText"/>
        <w:jc w:val="both"/>
      </w:pPr>
      <w:hyperlink r:id="rId9" w:history="1">
        <w:r w:rsidRPr="00E52A6F">
          <w:rPr>
            <w:rStyle w:val="Hyperlink"/>
            <w:rFonts w:hAnsi="Calibri" w:cs="Calibri"/>
            <w:sz w:val="22"/>
            <w:szCs w:val="22"/>
          </w:rPr>
          <w:t>http://www.consejo.org.ar/noticias17/files/actualidad_120617.pdf</w:t>
        </w:r>
      </w:hyperlink>
    </w:p>
  </w:footnote>
  <w:footnote w:id="47">
    <w:p w:rsidR="00D529C5" w:rsidRDefault="00D529C5" w:rsidP="00E52A6F">
      <w:pPr>
        <w:pStyle w:val="FootnoteText"/>
        <w:jc w:val="both"/>
      </w:pPr>
      <w:r w:rsidRPr="00E52A6F">
        <w:rPr>
          <w:rStyle w:val="FootnoteReference"/>
          <w:rFonts w:hAnsi="Calibri"/>
          <w:sz w:val="22"/>
          <w:szCs w:val="22"/>
        </w:rPr>
        <w:footnoteRef/>
      </w:r>
      <w:r w:rsidRPr="00E52A6F">
        <w:rPr>
          <w:rFonts w:hAnsi="Calibri"/>
          <w:sz w:val="22"/>
          <w:szCs w:val="22"/>
        </w:rPr>
        <w:t xml:space="preserve"> Espacio Consultivo AFIP - CPCECABA Grupo de Enlace Acta – Reunión del 06/07/2017 </w:t>
      </w:r>
      <w:hyperlink r:id="rId10" w:history="1">
        <w:r w:rsidRPr="00E52A6F">
          <w:rPr>
            <w:rStyle w:val="Hyperlink"/>
            <w:rFonts w:hAnsi="Calibri"/>
            <w:sz w:val="22"/>
            <w:szCs w:val="22"/>
          </w:rPr>
          <w:t>http://www.consejo.org.ar/noticias17/files/acta_180717.pdf</w:t>
        </w:r>
      </w:hyperlink>
    </w:p>
  </w:footnote>
  <w:footnote w:id="48">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rPr>
        <w:t xml:space="preserve"> Tribunal Fiscal de la Nación, Sala B in re </w:t>
      </w:r>
      <w:r w:rsidRPr="002353C6">
        <w:rPr>
          <w:rFonts w:hAnsi="Calibri" w:cs="Calibri"/>
          <w:i/>
          <w:sz w:val="22"/>
          <w:szCs w:val="22"/>
        </w:rPr>
        <w:t>“Sassoon, Alejandra s/apelación”</w:t>
      </w:r>
      <w:r w:rsidRPr="00E52A6F">
        <w:rPr>
          <w:rFonts w:hAnsi="Calibri" w:cs="Calibri"/>
          <w:sz w:val="22"/>
          <w:szCs w:val="22"/>
        </w:rPr>
        <w:t xml:space="preserve">, fallo del 19 de Diciembre de 2014, disponible en Base de Datos </w:t>
      </w:r>
      <w:r w:rsidRPr="00E52A6F">
        <w:rPr>
          <w:rFonts w:hAnsi="Calibri" w:cs="Calibri"/>
          <w:i/>
          <w:sz w:val="22"/>
          <w:szCs w:val="22"/>
        </w:rPr>
        <w:t>La Ley Online Checkpoint</w:t>
      </w:r>
      <w:r w:rsidRPr="00E52A6F">
        <w:rPr>
          <w:rFonts w:hAnsi="Calibri" w:cs="Calibri"/>
          <w:sz w:val="22"/>
          <w:szCs w:val="22"/>
        </w:rPr>
        <w:t>.</w:t>
      </w:r>
    </w:p>
  </w:footnote>
  <w:footnote w:id="49">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rPr>
        <w:t xml:space="preserve"> Debe señalarse que en este caso expresamente se deja de lado el análisis de la periodicidad y permanencia para una operación de especulación </w:t>
      </w:r>
      <w:r>
        <w:rPr>
          <w:rFonts w:hAnsi="Calibri" w:cs="Calibri"/>
          <w:sz w:val="22"/>
          <w:szCs w:val="22"/>
        </w:rPr>
        <w:t xml:space="preserve">al </w:t>
      </w:r>
      <w:r w:rsidRPr="00E52A6F">
        <w:rPr>
          <w:rFonts w:hAnsi="Calibri" w:cs="Calibri"/>
          <w:sz w:val="22"/>
          <w:szCs w:val="22"/>
        </w:rPr>
        <w:t xml:space="preserve">tratarse de una contribuyente persona física, conf. </w:t>
      </w:r>
      <w:r w:rsidRPr="00800E42">
        <w:rPr>
          <w:rFonts w:hAnsi="Calibri" w:cs="Calibri"/>
          <w:sz w:val="22"/>
          <w:szCs w:val="22"/>
        </w:rPr>
        <w:t>Ob. cit. Nota</w:t>
      </w:r>
      <w:r>
        <w:rPr>
          <w:rFonts w:hAnsi="Calibri" w:cs="Calibri"/>
          <w:sz w:val="22"/>
          <w:szCs w:val="22"/>
        </w:rPr>
        <w:t xml:space="preserve">  47 </w:t>
      </w:r>
      <w:r w:rsidRPr="009050CD">
        <w:rPr>
          <w:rFonts w:hAnsi="Calibri" w:cs="Calibri"/>
          <w:sz w:val="22"/>
          <w:szCs w:val="22"/>
        </w:rPr>
        <w:t>Considerando VII, pár. 3.</w:t>
      </w:r>
    </w:p>
  </w:footnote>
  <w:footnote w:id="50">
    <w:p w:rsidR="00D529C5" w:rsidRDefault="00D529C5" w:rsidP="00E52A6F">
      <w:pPr>
        <w:pStyle w:val="FootnoteText"/>
        <w:jc w:val="both"/>
      </w:pPr>
      <w:r w:rsidRPr="009050CD">
        <w:rPr>
          <w:rStyle w:val="FootnoteReference"/>
          <w:rFonts w:hAnsi="Calibri" w:cs="Calibri"/>
          <w:sz w:val="22"/>
          <w:szCs w:val="22"/>
        </w:rPr>
        <w:footnoteRef/>
      </w:r>
      <w:r w:rsidRPr="009050CD">
        <w:rPr>
          <w:rFonts w:hAnsi="Calibri" w:cs="Calibri"/>
          <w:sz w:val="22"/>
          <w:szCs w:val="22"/>
        </w:rPr>
        <w:t xml:space="preserve"> </w:t>
      </w:r>
      <w:r w:rsidRPr="00800E42">
        <w:rPr>
          <w:rFonts w:hAnsi="Calibri" w:cs="Calibri"/>
          <w:sz w:val="22"/>
          <w:szCs w:val="22"/>
        </w:rPr>
        <w:t>Ob. cit. Nota</w:t>
      </w:r>
      <w:r>
        <w:rPr>
          <w:rFonts w:hAnsi="Calibri" w:cs="Calibri"/>
          <w:sz w:val="22"/>
          <w:szCs w:val="22"/>
        </w:rPr>
        <w:t xml:space="preserve">  47 </w:t>
      </w:r>
      <w:r w:rsidRPr="009050CD">
        <w:rPr>
          <w:rFonts w:hAnsi="Calibri" w:cs="Calibri"/>
          <w:sz w:val="22"/>
          <w:szCs w:val="22"/>
        </w:rPr>
        <w:t>Considerando VII</w:t>
      </w:r>
      <w:r w:rsidRPr="00E52A6F">
        <w:rPr>
          <w:rFonts w:hAnsi="Calibri" w:cs="Calibri"/>
          <w:sz w:val="22"/>
          <w:szCs w:val="22"/>
        </w:rPr>
        <w:t>, pár. 16.</w:t>
      </w:r>
    </w:p>
  </w:footnote>
  <w:footnote w:id="51">
    <w:p w:rsidR="00D529C5" w:rsidRDefault="00D529C5" w:rsidP="00E52A6F">
      <w:pPr>
        <w:pStyle w:val="FootnoteText"/>
        <w:jc w:val="both"/>
      </w:pPr>
      <w:r w:rsidRPr="00E52A6F">
        <w:rPr>
          <w:rStyle w:val="FootnoteReference"/>
          <w:rFonts w:hAnsi="Calibri"/>
          <w:sz w:val="22"/>
          <w:szCs w:val="22"/>
        </w:rPr>
        <w:footnoteRef/>
      </w:r>
      <w:r w:rsidRPr="00E52A6F">
        <w:rPr>
          <w:rFonts w:hAnsi="Calibri"/>
          <w:sz w:val="22"/>
          <w:szCs w:val="22"/>
        </w:rPr>
        <w:t xml:space="preserve"> </w:t>
      </w:r>
      <w:r w:rsidRPr="00800E42">
        <w:rPr>
          <w:rFonts w:hAnsi="Calibri" w:cs="Calibri"/>
          <w:sz w:val="22"/>
          <w:szCs w:val="22"/>
        </w:rPr>
        <w:t xml:space="preserve">Ob. cit. Nota 1 </w:t>
      </w:r>
      <w:r w:rsidRPr="00E52A6F">
        <w:rPr>
          <w:rFonts w:hAnsi="Calibri" w:cs="Calibri"/>
          <w:sz w:val="22"/>
          <w:szCs w:val="22"/>
        </w:rPr>
        <w:t xml:space="preserve"> </w:t>
      </w:r>
      <w:r w:rsidRPr="00E52A6F">
        <w:rPr>
          <w:rFonts w:hAnsi="Calibri"/>
          <w:sz w:val="22"/>
          <w:szCs w:val="22"/>
        </w:rPr>
        <w:t xml:space="preserve">art. 162 pár. 2 </w:t>
      </w:r>
      <w:r w:rsidRPr="00E52A6F">
        <w:rPr>
          <w:rFonts w:hAnsi="Calibri"/>
          <w:i/>
          <w:sz w:val="22"/>
          <w:szCs w:val="22"/>
        </w:rPr>
        <w:t>[L]as deducciones admitidas se restarán de las ganancias de fuente extranjera producidas por la fuente que las origina].</w:t>
      </w:r>
      <w:r w:rsidRPr="00E52A6F">
        <w:rPr>
          <w:rFonts w:hAnsi="Calibri"/>
          <w:sz w:val="22"/>
          <w:szCs w:val="22"/>
        </w:rPr>
        <w:t> </w:t>
      </w:r>
    </w:p>
  </w:footnote>
  <w:footnote w:id="52">
    <w:p w:rsidR="00D529C5" w:rsidRPr="00E52A6F" w:rsidRDefault="00D529C5" w:rsidP="00E52A6F">
      <w:pPr>
        <w:pStyle w:val="FootnoteText"/>
        <w:jc w:val="both"/>
        <w:rPr>
          <w:rFonts w:hAnsi="Calibri"/>
          <w:i/>
          <w:sz w:val="22"/>
          <w:szCs w:val="22"/>
        </w:rPr>
      </w:pPr>
      <w:r w:rsidRPr="00E52A6F">
        <w:rPr>
          <w:rStyle w:val="FootnoteReference"/>
          <w:rFonts w:hAnsi="Calibri"/>
          <w:sz w:val="22"/>
          <w:szCs w:val="22"/>
        </w:rPr>
        <w:footnoteRef/>
      </w:r>
      <w:r w:rsidRPr="00E52A6F">
        <w:rPr>
          <w:rFonts w:hAnsi="Calibri"/>
          <w:sz w:val="22"/>
          <w:szCs w:val="22"/>
        </w:rPr>
        <w:t xml:space="preserve"> </w:t>
      </w:r>
      <w:r w:rsidRPr="00973807">
        <w:rPr>
          <w:rFonts w:hAnsi="Calibri" w:cs="Calibri"/>
          <w:sz w:val="22"/>
          <w:szCs w:val="22"/>
        </w:rPr>
        <w:t>Ob. cit. Nota 1</w:t>
      </w:r>
      <w:r w:rsidRPr="00E52A6F">
        <w:rPr>
          <w:rFonts w:hAnsi="Calibri" w:cs="Calibri"/>
          <w:sz w:val="22"/>
          <w:szCs w:val="22"/>
        </w:rPr>
        <w:t xml:space="preserve"> </w:t>
      </w:r>
      <w:r w:rsidRPr="00E52A6F">
        <w:rPr>
          <w:rFonts w:hAnsi="Calibri"/>
          <w:sz w:val="22"/>
          <w:szCs w:val="22"/>
        </w:rPr>
        <w:t xml:space="preserve">art. 134 pár. 1 y 2. </w:t>
      </w:r>
      <w:r w:rsidRPr="00E52A6F">
        <w:rPr>
          <w:rFonts w:hAnsi="Calibri"/>
          <w:i/>
          <w:sz w:val="22"/>
          <w:szCs w:val="22"/>
        </w:rPr>
        <w:t>[P]ara establecer la ganancia neta de fuente extranjera, se compensarán los resultados obtenidos dentro de cada una y entre las distintas categorías, considerando a tal efecto los resultados provenientes de todas las fuentes ubicadas en el extranjero y los provenientes de los establecimientos estables indicados en el artículo 128.</w:t>
      </w:r>
    </w:p>
    <w:p w:rsidR="00D529C5" w:rsidRDefault="00D529C5" w:rsidP="00C82FA7">
      <w:pPr>
        <w:pStyle w:val="FootnoteText"/>
        <w:jc w:val="both"/>
      </w:pPr>
      <w:r w:rsidRPr="00C82FA7">
        <w:rPr>
          <w:rFonts w:hAnsi="Calibri"/>
          <w:i/>
          <w:sz w:val="22"/>
          <w:szCs w:val="22"/>
        </w:rPr>
        <w:t>Cuando la compensación dispuesta precedentemente diera como resultado una pérdida, ésta, actualizada en la forma establecida en el cuarto párrafo del artículo 19, podrá deducirse de las ganancias netas de fuente extranjera que se obtengan en los cinco (5) años inmediatos siguientes. Transcurrido el último de esos años, el quebranto que aún reste no podrá ser objeto de compensación alguna].</w:t>
      </w:r>
    </w:p>
  </w:footnote>
  <w:footnote w:id="53">
    <w:p w:rsidR="00D529C5" w:rsidRDefault="00D529C5" w:rsidP="00C82FA7">
      <w:pPr>
        <w:pStyle w:val="FootnoteText"/>
        <w:jc w:val="both"/>
      </w:pPr>
      <w:r w:rsidRPr="00C82FA7">
        <w:rPr>
          <w:rStyle w:val="FootnoteReference"/>
          <w:rFonts w:hAnsi="Calibri"/>
          <w:sz w:val="22"/>
          <w:szCs w:val="22"/>
        </w:rPr>
        <w:footnoteRef/>
      </w:r>
      <w:r w:rsidRPr="00C82FA7">
        <w:rPr>
          <w:rFonts w:hAnsi="Calibri"/>
          <w:sz w:val="22"/>
          <w:szCs w:val="22"/>
        </w:rPr>
        <w:t xml:space="preserve">Espacio Consultivo AFIP - CPCECABA Grupo de Enlace Temario – Reunión del 22/06/2016 [en línea] </w:t>
      </w:r>
      <w:hyperlink r:id="rId11" w:history="1">
        <w:r w:rsidRPr="00C82FA7">
          <w:rPr>
            <w:rStyle w:val="Hyperlink"/>
            <w:rFonts w:hAnsi="Calibri"/>
            <w:sz w:val="22"/>
            <w:szCs w:val="22"/>
          </w:rPr>
          <w:t>http://www.consejo.org.ar/noticias16/files/Enlace_AFIP-Consejo_22-06-2016.pdf</w:t>
        </w:r>
      </w:hyperlink>
    </w:p>
  </w:footnote>
  <w:footnote w:id="54">
    <w:p w:rsidR="00D529C5" w:rsidRDefault="00D529C5" w:rsidP="00C82FA7">
      <w:pPr>
        <w:pStyle w:val="FootnoteText"/>
        <w:jc w:val="both"/>
      </w:pPr>
      <w:r w:rsidRPr="00C82FA7">
        <w:rPr>
          <w:rStyle w:val="FootnoteReference"/>
          <w:sz w:val="22"/>
          <w:szCs w:val="22"/>
        </w:rPr>
        <w:footnoteRef/>
      </w:r>
      <w:r w:rsidRPr="00C82FA7">
        <w:rPr>
          <w:sz w:val="22"/>
          <w:szCs w:val="22"/>
        </w:rPr>
        <w:t xml:space="preserve"> </w:t>
      </w:r>
      <w:r w:rsidRPr="006F5ACC">
        <w:rPr>
          <w:rFonts w:hAnsi="Calibri" w:cs="Calibri"/>
          <w:sz w:val="22"/>
          <w:szCs w:val="22"/>
        </w:rPr>
        <w:t xml:space="preserve">Ob. cit. Nota 6 </w:t>
      </w:r>
      <w:r w:rsidRPr="00C82FA7">
        <w:rPr>
          <w:sz w:val="22"/>
          <w:szCs w:val="22"/>
        </w:rPr>
        <w:t>art.42.</w:t>
      </w:r>
    </w:p>
  </w:footnote>
  <w:footnote w:id="55">
    <w:p w:rsidR="00D529C5" w:rsidRDefault="00D529C5" w:rsidP="00C82FA7">
      <w:pPr>
        <w:spacing w:after="0" w:line="240" w:lineRule="auto"/>
        <w:jc w:val="both"/>
      </w:pPr>
      <w:r w:rsidRPr="00C82FA7">
        <w:rPr>
          <w:rStyle w:val="FootnoteReference"/>
          <w:rFonts w:hAnsi="Calibri" w:cs="Calibri"/>
        </w:rPr>
        <w:footnoteRef/>
      </w:r>
      <w:r w:rsidRPr="00C82FA7">
        <w:rPr>
          <w:rFonts w:hAnsi="Calibri" w:cs="Calibri"/>
        </w:rPr>
        <w:t xml:space="preserve"> VOLMAN, Mario; </w:t>
      </w:r>
      <w:r w:rsidRPr="00C82FA7">
        <w:rPr>
          <w:rFonts w:hAnsi="Calibri" w:cs="Calibri"/>
          <w:i/>
        </w:rPr>
        <w:t>“Tratamiento de la Renta Financiera en el Impuesto a las Ganancias. El Caso Especial de los Derivados”;</w:t>
      </w:r>
      <w:r w:rsidRPr="00C82FA7">
        <w:rPr>
          <w:rFonts w:hAnsi="Calibri" w:cs="Calibri"/>
        </w:rPr>
        <w:t xml:space="preserve"> en Doctrina Tributaria Errepar (DTE) XXXVII, Noviembre de 2016. Disponible en Base de Datos </w:t>
      </w:r>
      <w:r w:rsidRPr="00C82FA7">
        <w:rPr>
          <w:rFonts w:hAnsi="Calibri" w:cs="Calibri"/>
          <w:i/>
        </w:rPr>
        <w:t>Errepar On Line (EOL)</w:t>
      </w:r>
      <w:r w:rsidRPr="00C82FA7">
        <w:rPr>
          <w:rFonts w:hAnsi="Calibri" w:cs="Calibri"/>
        </w:rPr>
        <w:t>.</w:t>
      </w:r>
    </w:p>
  </w:footnote>
  <w:footnote w:id="56">
    <w:p w:rsidR="00D529C5" w:rsidRPr="00C82FA7" w:rsidRDefault="00D529C5" w:rsidP="00C82FA7">
      <w:pPr>
        <w:pStyle w:val="FootnoteText"/>
        <w:jc w:val="both"/>
        <w:rPr>
          <w:rFonts w:hAnsi="Calibri" w:cs="Calibri"/>
          <w:sz w:val="22"/>
          <w:szCs w:val="22"/>
        </w:rPr>
      </w:pPr>
      <w:r w:rsidRPr="00C82FA7">
        <w:rPr>
          <w:rStyle w:val="FootnoteReference"/>
          <w:rFonts w:hAnsi="Calibri" w:cs="Calibri"/>
          <w:sz w:val="22"/>
          <w:szCs w:val="22"/>
        </w:rPr>
        <w:footnoteRef/>
      </w:r>
      <w:r w:rsidRPr="00C82FA7">
        <w:rPr>
          <w:rFonts w:hAnsi="Calibri" w:cs="Calibri"/>
          <w:sz w:val="22"/>
          <w:szCs w:val="22"/>
        </w:rPr>
        <w:t xml:space="preserve"> MORENO GURREA, José A.; </w:t>
      </w:r>
      <w:r w:rsidRPr="00C82FA7">
        <w:rPr>
          <w:rFonts w:hAnsi="Calibri" w:cs="Calibri"/>
          <w:i/>
          <w:sz w:val="22"/>
          <w:szCs w:val="22"/>
        </w:rPr>
        <w:t>“Reglamentación de las Rentas Financieras en el Impuesto a las Ganancias. Decreto N° 2334/2013”;</w:t>
      </w:r>
      <w:r w:rsidRPr="00C82FA7">
        <w:rPr>
          <w:rFonts w:hAnsi="Calibri" w:cs="Calibri"/>
          <w:sz w:val="22"/>
          <w:szCs w:val="22"/>
        </w:rPr>
        <w:t xml:space="preserve"> 20/03/2014. [en línea] </w:t>
      </w:r>
    </w:p>
    <w:p w:rsidR="00D529C5" w:rsidRDefault="00D529C5" w:rsidP="00C82FA7">
      <w:pPr>
        <w:pStyle w:val="FootnoteText"/>
        <w:jc w:val="both"/>
      </w:pPr>
      <w:hyperlink r:id="rId12" w:history="1">
        <w:r w:rsidRPr="00C82FA7">
          <w:rPr>
            <w:rStyle w:val="Hyperlink"/>
            <w:rFonts w:hAnsi="Calibri" w:cs="Calibri"/>
            <w:sz w:val="22"/>
            <w:szCs w:val="22"/>
          </w:rPr>
          <w:t>http://www.soler.com.ar/2014/Reglam_Reform_Gan.pdf</w:t>
        </w:r>
      </w:hyperlink>
    </w:p>
  </w:footnote>
  <w:footnote w:id="57">
    <w:p w:rsidR="00D529C5" w:rsidRDefault="00D529C5" w:rsidP="00E52A6F">
      <w:pPr>
        <w:pStyle w:val="FootnoteText"/>
        <w:jc w:val="both"/>
      </w:pPr>
      <w:r w:rsidRPr="000A4549">
        <w:rPr>
          <w:rStyle w:val="FootnoteReference"/>
          <w:rFonts w:hAnsi="Calibri" w:cs="Calibri"/>
          <w:sz w:val="22"/>
          <w:szCs w:val="22"/>
        </w:rPr>
        <w:footnoteRef/>
      </w:r>
      <w:r w:rsidRPr="000A4549">
        <w:rPr>
          <w:rFonts w:hAnsi="Calibri" w:cs="Calibri"/>
          <w:sz w:val="22"/>
          <w:szCs w:val="22"/>
        </w:rPr>
        <w:t xml:space="preserve"> MARTÍN, Julián; </w:t>
      </w:r>
      <w:r w:rsidRPr="000A4549">
        <w:rPr>
          <w:rFonts w:hAnsi="Calibri" w:cs="Calibri"/>
          <w:i/>
          <w:sz w:val="22"/>
          <w:szCs w:val="22"/>
        </w:rPr>
        <w:t>“Venta de Títulos Valores. Impuesto a las Ganancias. Situación de los ADR y CEDEAR”</w:t>
      </w:r>
      <w:r w:rsidRPr="000A4549">
        <w:rPr>
          <w:rFonts w:hAnsi="Calibri" w:cs="Calibri"/>
          <w:sz w:val="22"/>
          <w:szCs w:val="22"/>
        </w:rPr>
        <w:t xml:space="preserve">; 18/11/2014. [en línea] </w:t>
      </w:r>
      <w:hyperlink r:id="rId13" w:history="1">
        <w:r w:rsidRPr="000A4549">
          <w:rPr>
            <w:rStyle w:val="Hyperlink"/>
            <w:rFonts w:hAnsi="Calibri" w:cs="Calibri"/>
            <w:sz w:val="22"/>
            <w:szCs w:val="22"/>
          </w:rPr>
          <w:t>https://ideastributarias.wordpress.com/2014/11/18/venta-de-titulos-valores-impuesto-a-las-ganancias-situacion-de-los-adr-y-cedear/</w:t>
        </w:r>
      </w:hyperlink>
    </w:p>
  </w:footnote>
  <w:footnote w:id="58">
    <w:p w:rsidR="00D529C5" w:rsidRPr="00E52A6F" w:rsidRDefault="00D529C5" w:rsidP="00E52A6F">
      <w:pPr>
        <w:pStyle w:val="FootnoteText"/>
        <w:jc w:val="both"/>
        <w:rPr>
          <w:rFonts w:hAnsi="Calibri" w:cs="Calibri"/>
          <w:sz w:val="22"/>
          <w:szCs w:val="22"/>
        </w:rPr>
      </w:pPr>
      <w:r w:rsidRPr="00E52A6F">
        <w:rPr>
          <w:rStyle w:val="FootnoteReference"/>
          <w:rFonts w:hAnsi="Calibri" w:cs="Calibri"/>
          <w:sz w:val="22"/>
          <w:szCs w:val="22"/>
        </w:rPr>
        <w:footnoteRef/>
      </w:r>
      <w:r w:rsidRPr="00E52A6F">
        <w:rPr>
          <w:rFonts w:hAnsi="Calibri" w:cs="Calibri"/>
          <w:color w:val="000000"/>
          <w:sz w:val="22"/>
          <w:szCs w:val="22"/>
        </w:rPr>
        <w:t>Temas técnicos y legales planteados en las reuniones del Espacio Consultivo entre AFIP - CPCECABA.</w:t>
      </w:r>
      <w:r w:rsidRPr="00E52A6F">
        <w:rPr>
          <w:rFonts w:hAnsi="Calibri" w:cs="Calibri"/>
          <w:sz w:val="22"/>
          <w:szCs w:val="22"/>
        </w:rPr>
        <w:t xml:space="preserve"> 03/03/2016 [en línea]</w:t>
      </w:r>
    </w:p>
    <w:p w:rsidR="00D529C5" w:rsidRDefault="00D529C5" w:rsidP="00E52A6F">
      <w:pPr>
        <w:pStyle w:val="FootnoteText"/>
        <w:jc w:val="both"/>
      </w:pPr>
      <w:hyperlink r:id="rId14" w:history="1">
        <w:r w:rsidRPr="006765C5">
          <w:rPr>
            <w:rStyle w:val="Hyperlink"/>
            <w:rFonts w:hAnsi="Calibri" w:cs="Calibri"/>
            <w:color w:val="0567C1"/>
            <w:sz w:val="22"/>
            <w:szCs w:val="22"/>
          </w:rPr>
          <w:t>http://z0723.cponline.org.ar:8080/GrupoEnlaceConsulta/servletCentral?accion=MuestraPregunta</w:t>
        </w:r>
      </w:hyperlink>
    </w:p>
  </w:footnote>
  <w:footnote w:id="59">
    <w:p w:rsidR="00D529C5" w:rsidRPr="00E52A6F" w:rsidRDefault="00D529C5" w:rsidP="00E52A6F">
      <w:pPr>
        <w:pStyle w:val="FootnoteText"/>
        <w:jc w:val="both"/>
        <w:rPr>
          <w:rFonts w:hAnsi="Calibri" w:cs="Calibri"/>
          <w:sz w:val="22"/>
          <w:szCs w:val="22"/>
        </w:rPr>
      </w:pPr>
      <w:r w:rsidRPr="00E52A6F">
        <w:rPr>
          <w:rStyle w:val="FootnoteReference"/>
          <w:rFonts w:hAnsi="Calibri" w:cs="Calibri"/>
          <w:sz w:val="22"/>
          <w:szCs w:val="22"/>
        </w:rPr>
        <w:footnoteRef/>
      </w:r>
      <w:r w:rsidRPr="00E52A6F">
        <w:rPr>
          <w:rFonts w:hAnsi="Calibri" w:cs="Calibri"/>
          <w:sz w:val="22"/>
          <w:szCs w:val="22"/>
        </w:rPr>
        <w:t xml:space="preserve"> </w:t>
      </w:r>
      <w:bookmarkStart w:id="34" w:name="_Hlk491209359"/>
      <w:r w:rsidRPr="00E52A6F">
        <w:rPr>
          <w:rFonts w:hAnsi="Calibri" w:cs="Calibri"/>
          <w:sz w:val="22"/>
          <w:szCs w:val="22"/>
        </w:rPr>
        <w:t>Posición confirmada en Respuestas a Consultas del Ciclo de Actualidad Tributaria del 17/05/2017 [en línea]</w:t>
      </w:r>
    </w:p>
    <w:p w:rsidR="00D529C5" w:rsidRDefault="00D529C5" w:rsidP="00E52A6F">
      <w:pPr>
        <w:pStyle w:val="FootnoteText"/>
        <w:jc w:val="both"/>
      </w:pPr>
      <w:hyperlink r:id="rId15" w:history="1">
        <w:r w:rsidRPr="009050CD">
          <w:rPr>
            <w:rStyle w:val="Hyperlink"/>
            <w:rFonts w:hAnsi="Calibri" w:cs="Calibri"/>
            <w:color w:val="0567C1"/>
            <w:sz w:val="22"/>
            <w:szCs w:val="22"/>
          </w:rPr>
          <w:t>http://www.consejo.org.ar/noticias17/files/actualidad_120617.pdf</w:t>
        </w:r>
      </w:hyperlink>
      <w:bookmarkEnd w:id="34"/>
    </w:p>
  </w:footnote>
  <w:footnote w:id="60">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rPr>
        <w:t xml:space="preserve"> Proyecto de Ley enviado por el Poder Ejecutivo al Poder Legislativo el 16/11/2016 [en línea] </w:t>
      </w:r>
      <w:hyperlink r:id="rId16" w:history="1">
        <w:r w:rsidRPr="00E52A6F">
          <w:rPr>
            <w:rStyle w:val="Hyperlink"/>
            <w:rFonts w:hAnsi="Calibri" w:cs="Calibri"/>
            <w:sz w:val="22"/>
            <w:szCs w:val="22"/>
          </w:rPr>
          <w:t>http://www4.hcdn.gob.ar/dependencias/dsecretaria/Periodo2016/PDF2016/TP2016/0035-PE-2016.pdf</w:t>
        </w:r>
      </w:hyperlink>
    </w:p>
  </w:footnote>
  <w:footnote w:id="61">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140 inc a).</w:t>
      </w:r>
    </w:p>
  </w:footnote>
  <w:footnote w:id="62">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133 pár 1.</w:t>
      </w:r>
    </w:p>
  </w:footnote>
  <w:footnote w:id="63">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18</w:t>
      </w:r>
      <w:r>
        <w:rPr>
          <w:rFonts w:hAnsi="Calibri" w:cs="Calibri"/>
          <w:sz w:val="22"/>
          <w:szCs w:val="22"/>
          <w:lang w:val="en-US"/>
        </w:rPr>
        <w:t xml:space="preserve"> inc a)</w:t>
      </w:r>
      <w:r w:rsidRPr="00E52A6F">
        <w:rPr>
          <w:rFonts w:hAnsi="Calibri" w:cs="Calibri"/>
          <w:sz w:val="22"/>
          <w:szCs w:val="22"/>
          <w:lang w:val="en-US"/>
        </w:rPr>
        <w:t xml:space="preserve"> pár 4.</w:t>
      </w:r>
    </w:p>
  </w:footnote>
  <w:footnote w:id="64">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141 pár 1.</w:t>
      </w:r>
    </w:p>
  </w:footnote>
  <w:footnote w:id="65">
    <w:p w:rsidR="00D529C5" w:rsidRDefault="00D529C5" w:rsidP="00E52A6F">
      <w:pPr>
        <w:pStyle w:val="FootnoteText"/>
        <w:jc w:val="both"/>
      </w:pPr>
      <w:r w:rsidRPr="00E52A6F">
        <w:rPr>
          <w:rStyle w:val="FootnoteReference"/>
          <w:rFonts w:hAnsi="Calibri" w:cs="Calibri"/>
          <w:sz w:val="22"/>
          <w:szCs w:val="22"/>
        </w:rPr>
        <w:footnoteRef/>
      </w:r>
      <w:r>
        <w:rPr>
          <w:rFonts w:hAnsi="Calibri" w:cs="Calibri"/>
          <w:sz w:val="22"/>
          <w:szCs w:val="22"/>
          <w:lang w:val="en-US"/>
        </w:rPr>
        <w:t xml:space="preserve">Ob. cit. Nota 1 </w:t>
      </w:r>
      <w:r w:rsidRPr="002B334F">
        <w:rPr>
          <w:rFonts w:hAnsi="Calibri" w:cs="Calibri"/>
          <w:sz w:val="22"/>
          <w:szCs w:val="22"/>
          <w:lang w:val="en-US"/>
        </w:rPr>
        <w:t>art. 141 pár 2.</w:t>
      </w:r>
    </w:p>
  </w:footnote>
  <w:footnote w:id="66">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rPr>
        <w:t xml:space="preserve"> GOTLIB, Gabriel y VAQUERO Fernando M.; </w:t>
      </w:r>
      <w:r w:rsidRPr="00E52A6F">
        <w:rPr>
          <w:rFonts w:hAnsi="Calibri" w:cs="Calibri"/>
          <w:i/>
          <w:sz w:val="22"/>
          <w:szCs w:val="22"/>
        </w:rPr>
        <w:t>Aspectos Internacionales de la Tributación Argentina</w:t>
      </w:r>
      <w:r w:rsidRPr="00E52A6F">
        <w:rPr>
          <w:rFonts w:hAnsi="Calibri" w:cs="Calibri"/>
          <w:sz w:val="22"/>
          <w:szCs w:val="22"/>
        </w:rPr>
        <w:t>; 2ª Ed Actualizada y Ampliada –Buenos Aires; La Ley; 2009, p. 339.</w:t>
      </w:r>
    </w:p>
  </w:footnote>
  <w:footnote w:id="67">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 xml:space="preserve"> art. 149 pár 1.</w:t>
      </w:r>
    </w:p>
  </w:footnote>
  <w:footnote w:id="68">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 xml:space="preserve"> art. 149 pár 2.</w:t>
      </w:r>
    </w:p>
  </w:footnote>
  <w:footnote w:id="69">
    <w:p w:rsidR="00D529C5" w:rsidRDefault="00D529C5" w:rsidP="00E52A6F">
      <w:pPr>
        <w:pStyle w:val="FootnoteText"/>
        <w:jc w:val="both"/>
      </w:pPr>
      <w:r w:rsidRPr="00E52A6F">
        <w:rPr>
          <w:rStyle w:val="FootnoteReference"/>
          <w:rFonts w:hAnsi="Calibri" w:cs="Calibri"/>
          <w:sz w:val="22"/>
          <w:szCs w:val="22"/>
        </w:rPr>
        <w:footnoteRef/>
      </w:r>
      <w:r w:rsidRPr="006F5ACC">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149 pár 1.</w:t>
      </w:r>
    </w:p>
  </w:footnote>
  <w:footnote w:id="70">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 xml:space="preserve"> art. 149 pár 3.</w:t>
      </w:r>
    </w:p>
  </w:footnote>
  <w:footnote w:id="71">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133 inc d).</w:t>
      </w:r>
    </w:p>
  </w:footnote>
  <w:footnote w:id="72">
    <w:p w:rsidR="00D529C5" w:rsidRDefault="00D529C5" w:rsidP="001909D4">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159 pár 4.</w:t>
      </w:r>
    </w:p>
  </w:footnote>
  <w:footnote w:id="73">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128 pár 2.</w:t>
      </w:r>
    </w:p>
  </w:footnote>
  <w:footnote w:id="74">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132 pár 1.</w:t>
      </w:r>
    </w:p>
  </w:footnote>
  <w:footnote w:id="75">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133 inc a).</w:t>
      </w:r>
    </w:p>
  </w:footnote>
  <w:footnote w:id="76">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147 pár 1.</w:t>
      </w:r>
    </w:p>
  </w:footnote>
  <w:footnote w:id="77">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rPr>
        <w:t xml:space="preserve"> Ley 24.441 (B.O</w:t>
      </w:r>
      <w:r>
        <w:rPr>
          <w:rFonts w:hAnsi="Calibri" w:cs="Calibri"/>
          <w:sz w:val="22"/>
          <w:szCs w:val="22"/>
        </w:rPr>
        <w:t>.</w:t>
      </w:r>
      <w:r w:rsidRPr="00E52A6F">
        <w:rPr>
          <w:rFonts w:hAnsi="Calibri" w:cs="Calibri"/>
          <w:sz w:val="22"/>
          <w:szCs w:val="22"/>
        </w:rPr>
        <w:t xml:space="preserve"> 16/01/1995); Disponible en Base de Datos </w:t>
      </w:r>
      <w:r w:rsidRPr="00E52A6F">
        <w:rPr>
          <w:rFonts w:hAnsi="Calibri" w:cs="Calibri"/>
          <w:i/>
          <w:sz w:val="22"/>
          <w:szCs w:val="22"/>
        </w:rPr>
        <w:t xml:space="preserve">Infoleg – Información Legislativa; </w:t>
      </w:r>
      <w:r>
        <w:rPr>
          <w:rFonts w:hAnsi="Calibri" w:cs="Calibri"/>
          <w:sz w:val="22"/>
          <w:szCs w:val="22"/>
        </w:rPr>
        <w:t>art. 83 pár 1 inc b)</w:t>
      </w:r>
      <w:r w:rsidRPr="00E52A6F">
        <w:rPr>
          <w:rFonts w:hAnsi="Calibri" w:cs="Calibri"/>
          <w:sz w:val="22"/>
          <w:szCs w:val="22"/>
        </w:rPr>
        <w:t>.</w:t>
      </w:r>
    </w:p>
  </w:footnote>
  <w:footnote w:id="78">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rPr>
        <w:t xml:space="preserve"> </w:t>
      </w:r>
      <w:r w:rsidRPr="00800E42">
        <w:rPr>
          <w:rFonts w:hAnsi="Calibri" w:cs="Calibri"/>
          <w:sz w:val="22"/>
          <w:szCs w:val="22"/>
        </w:rPr>
        <w:t>Ob. cit. Nota</w:t>
      </w:r>
      <w:r>
        <w:rPr>
          <w:rFonts w:hAnsi="Calibri" w:cs="Calibri"/>
          <w:sz w:val="22"/>
          <w:szCs w:val="22"/>
        </w:rPr>
        <w:t xml:space="preserve"> 65</w:t>
      </w:r>
      <w:r w:rsidRPr="00E52A6F">
        <w:rPr>
          <w:rFonts w:hAnsi="Calibri" w:cs="Calibri"/>
          <w:sz w:val="22"/>
          <w:szCs w:val="22"/>
        </w:rPr>
        <w:t xml:space="preserve"> p</w:t>
      </w:r>
      <w:r>
        <w:rPr>
          <w:rFonts w:hAnsi="Calibri" w:cs="Calibri"/>
          <w:sz w:val="22"/>
          <w:szCs w:val="22"/>
        </w:rPr>
        <w:t>ág</w:t>
      </w:r>
      <w:r w:rsidRPr="00E52A6F">
        <w:rPr>
          <w:rFonts w:hAnsi="Calibri" w:cs="Calibri"/>
          <w:sz w:val="22"/>
          <w:szCs w:val="22"/>
        </w:rPr>
        <w:t>. 352.</w:t>
      </w:r>
    </w:p>
  </w:footnote>
  <w:footnote w:id="79">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rPr>
        <w:t xml:space="preserve"> Corte Suprema de Justicia de la Nación, in re “Maltería Pampa SA (TF 27.000-I) c/DGI”, fallo del 24 de Febrero de 2015. Disponible en Base de Datos </w:t>
      </w:r>
      <w:r w:rsidRPr="00E52A6F">
        <w:rPr>
          <w:rFonts w:hAnsi="Calibri" w:cs="Calibri"/>
          <w:i/>
          <w:sz w:val="22"/>
          <w:szCs w:val="22"/>
        </w:rPr>
        <w:t>La Ley Online Checkpoint.</w:t>
      </w:r>
    </w:p>
  </w:footnote>
  <w:footnote w:id="80">
    <w:p w:rsidR="00D529C5" w:rsidRDefault="00D529C5" w:rsidP="008C215A">
      <w:pPr>
        <w:spacing w:after="0" w:line="240" w:lineRule="auto"/>
        <w:jc w:val="both"/>
      </w:pPr>
      <w:r w:rsidRPr="002A3177">
        <w:rPr>
          <w:rStyle w:val="FootnoteReference"/>
          <w:rFonts w:hAnsi="Calibri" w:cs="Calibri"/>
        </w:rPr>
        <w:footnoteRef/>
      </w:r>
      <w:r w:rsidRPr="002A3177">
        <w:rPr>
          <w:rFonts w:hAnsi="Calibri" w:cs="Calibri"/>
        </w:rPr>
        <w:t xml:space="preserve"> </w:t>
      </w:r>
      <w:r w:rsidRPr="00C82FA7">
        <w:rPr>
          <w:rFonts w:hAnsi="Calibri" w:cs="Calibri"/>
        </w:rPr>
        <w:t xml:space="preserve">Ob. cit. Nota 6 </w:t>
      </w:r>
      <w:r>
        <w:rPr>
          <w:rFonts w:hAnsi="Calibri" w:cs="Calibri"/>
        </w:rPr>
        <w:t>sexto art. incorporado a continuación del art. VI incorporado a continuación del art. 165.</w:t>
      </w:r>
    </w:p>
  </w:footnote>
  <w:footnote w:id="81">
    <w:p w:rsidR="00D529C5" w:rsidRDefault="00D529C5" w:rsidP="008C215A">
      <w:pPr>
        <w:pStyle w:val="FootnoteText"/>
        <w:jc w:val="both"/>
      </w:pPr>
      <w:r w:rsidRPr="0018200D">
        <w:rPr>
          <w:rStyle w:val="FootnoteReference"/>
          <w:rFonts w:hAnsi="Calibri" w:cs="Calibri"/>
          <w:sz w:val="22"/>
          <w:szCs w:val="22"/>
        </w:rPr>
        <w:footnoteRef/>
      </w:r>
      <w:r w:rsidRPr="0018200D">
        <w:rPr>
          <w:rFonts w:hAnsi="Calibri" w:cs="Calibri"/>
          <w:sz w:val="22"/>
          <w:szCs w:val="22"/>
        </w:rPr>
        <w:t xml:space="preserve"> ALTAMIRANO, Alejandro C.</w:t>
      </w:r>
      <w:r>
        <w:rPr>
          <w:rFonts w:hAnsi="Calibri" w:cs="Calibri"/>
          <w:sz w:val="22"/>
          <w:szCs w:val="22"/>
        </w:rPr>
        <w:t>;</w:t>
      </w:r>
      <w:r w:rsidRPr="0018200D">
        <w:rPr>
          <w:rFonts w:hAnsi="Calibri" w:cs="Calibri"/>
          <w:sz w:val="22"/>
          <w:szCs w:val="22"/>
        </w:rPr>
        <w:t xml:space="preserve"> </w:t>
      </w:r>
      <w:r w:rsidRPr="0018200D">
        <w:rPr>
          <w:rFonts w:hAnsi="Calibri" w:cs="Calibri"/>
          <w:i/>
          <w:sz w:val="22"/>
          <w:szCs w:val="22"/>
        </w:rPr>
        <w:t>“Transparencia Fiscal Internacional (Normas Tributarias para la Prevención de la Elusión Internacional)”</w:t>
      </w:r>
      <w:r w:rsidRPr="0018200D">
        <w:rPr>
          <w:rFonts w:hAnsi="Calibri" w:cs="Calibri"/>
          <w:sz w:val="22"/>
          <w:szCs w:val="22"/>
        </w:rPr>
        <w:t>, Rev. Arg. de Derecho Tributario, 2003 (abril-junio), pág 313.</w:t>
      </w:r>
    </w:p>
  </w:footnote>
  <w:footnote w:id="82">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rPr>
        <w:t xml:space="preserve"> DÍAZ</w:t>
      </w:r>
      <w:r>
        <w:rPr>
          <w:rFonts w:hAnsi="Calibri" w:cs="Calibri"/>
          <w:sz w:val="22"/>
          <w:szCs w:val="22"/>
        </w:rPr>
        <w:t>,</w:t>
      </w:r>
      <w:r w:rsidRPr="00E52A6F">
        <w:rPr>
          <w:rFonts w:hAnsi="Calibri" w:cs="Calibri"/>
          <w:sz w:val="22"/>
          <w:szCs w:val="22"/>
        </w:rPr>
        <w:t xml:space="preserve"> Vicente O.</w:t>
      </w:r>
      <w:r>
        <w:rPr>
          <w:rFonts w:hAnsi="Calibri" w:cs="Calibri"/>
          <w:sz w:val="22"/>
          <w:szCs w:val="22"/>
        </w:rPr>
        <w:t>;</w:t>
      </w:r>
      <w:r w:rsidRPr="00E52A6F">
        <w:rPr>
          <w:rFonts w:hAnsi="Calibri" w:cs="Calibri"/>
          <w:sz w:val="22"/>
          <w:szCs w:val="22"/>
        </w:rPr>
        <w:t xml:space="preserve"> </w:t>
      </w:r>
      <w:r w:rsidRPr="00E52A6F">
        <w:rPr>
          <w:rFonts w:hAnsi="Calibri" w:cs="Calibri"/>
          <w:i/>
          <w:sz w:val="22"/>
          <w:szCs w:val="22"/>
        </w:rPr>
        <w:t>“Aspectos fiscales-penales del accionar de grupos multinacionales”</w:t>
      </w:r>
      <w:r w:rsidRPr="00E52A6F">
        <w:rPr>
          <w:rFonts w:hAnsi="Calibri" w:cs="Calibri"/>
          <w:sz w:val="22"/>
          <w:szCs w:val="22"/>
        </w:rPr>
        <w:t>; IMP. 2004 – B, 1584.</w:t>
      </w:r>
    </w:p>
  </w:footnote>
  <w:footnote w:id="83">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133 inc a).</w:t>
      </w:r>
    </w:p>
  </w:footnote>
  <w:footnote w:id="84">
    <w:p w:rsidR="00D529C5" w:rsidRDefault="00D529C5" w:rsidP="00E52A6F">
      <w:pPr>
        <w:pStyle w:val="FootnoteText"/>
        <w:jc w:val="both"/>
      </w:pPr>
      <w:r w:rsidRPr="00E52A6F">
        <w:rPr>
          <w:rStyle w:val="FootnoteReference"/>
          <w:rFonts w:hAnsi="Calibri" w:cs="Calibri"/>
          <w:sz w:val="22"/>
          <w:szCs w:val="22"/>
        </w:rPr>
        <w:footnoteRef/>
      </w:r>
      <w:r w:rsidRPr="00E52A6F">
        <w:rPr>
          <w:rFonts w:hAnsi="Calibri" w:cs="Calibri"/>
          <w:sz w:val="22"/>
          <w:szCs w:val="22"/>
          <w:lang w:val="en-US"/>
        </w:rPr>
        <w:t xml:space="preserve"> </w:t>
      </w:r>
      <w:r>
        <w:rPr>
          <w:rFonts w:hAnsi="Calibri" w:cs="Calibri"/>
          <w:sz w:val="22"/>
          <w:szCs w:val="22"/>
          <w:lang w:val="en-US"/>
        </w:rPr>
        <w:t xml:space="preserve">Ob. cit. Nota 1 </w:t>
      </w:r>
      <w:r w:rsidRPr="00E52A6F">
        <w:rPr>
          <w:rFonts w:hAnsi="Calibri" w:cs="Calibri"/>
          <w:sz w:val="22"/>
          <w:szCs w:val="22"/>
          <w:lang w:val="en-US"/>
        </w:rPr>
        <w:t>art. 148 pár 1.</w:t>
      </w:r>
    </w:p>
  </w:footnote>
  <w:footnote w:id="85">
    <w:p w:rsidR="00D529C5" w:rsidRDefault="00D529C5" w:rsidP="008C215A">
      <w:pPr>
        <w:pStyle w:val="FootnoteText"/>
        <w:jc w:val="both"/>
      </w:pPr>
      <w:r w:rsidRPr="00E55461">
        <w:rPr>
          <w:rStyle w:val="FootnoteReference"/>
          <w:rFonts w:hAnsi="Calibri" w:cs="Calibri"/>
          <w:sz w:val="22"/>
          <w:szCs w:val="22"/>
        </w:rPr>
        <w:footnoteRef/>
      </w:r>
      <w:r w:rsidRPr="00E55461">
        <w:rPr>
          <w:rFonts w:hAnsi="Calibri" w:cs="Calibri"/>
          <w:sz w:val="22"/>
          <w:szCs w:val="22"/>
        </w:rPr>
        <w:t xml:space="preserve"> </w:t>
      </w:r>
      <w:r w:rsidRPr="00C82FA7">
        <w:rPr>
          <w:rFonts w:hAnsi="Calibri" w:cs="Calibri"/>
          <w:sz w:val="22"/>
          <w:szCs w:val="22"/>
        </w:rPr>
        <w:t xml:space="preserve">Ob. cit. Nota 6 </w:t>
      </w:r>
      <w:r w:rsidRPr="00E55461">
        <w:rPr>
          <w:rFonts w:hAnsi="Calibri" w:cs="Calibri"/>
          <w:sz w:val="22"/>
          <w:szCs w:val="22"/>
        </w:rPr>
        <w:t>sexto art. incorporado a continuación del art. VI incorporado a continuación del art. 165.</w:t>
      </w:r>
    </w:p>
  </w:footnote>
  <w:footnote w:id="86">
    <w:p w:rsidR="00D529C5" w:rsidRDefault="00D529C5" w:rsidP="008C215A">
      <w:pPr>
        <w:pStyle w:val="FootnoteText"/>
        <w:jc w:val="both"/>
      </w:pPr>
      <w:r w:rsidRPr="00E55461">
        <w:rPr>
          <w:rStyle w:val="FootnoteReference"/>
          <w:rFonts w:hAnsi="Calibri" w:cs="Calibri"/>
          <w:sz w:val="22"/>
          <w:szCs w:val="22"/>
        </w:rPr>
        <w:footnoteRef/>
      </w:r>
      <w:r w:rsidRPr="00E55461">
        <w:rPr>
          <w:rFonts w:hAnsi="Calibri" w:cs="Calibri"/>
          <w:sz w:val="22"/>
          <w:szCs w:val="22"/>
        </w:rPr>
        <w:t xml:space="preserve"> </w:t>
      </w:r>
      <w:r w:rsidRPr="006F5ACC">
        <w:rPr>
          <w:rFonts w:hAnsi="Calibri" w:cs="Calibri"/>
          <w:sz w:val="22"/>
          <w:szCs w:val="22"/>
        </w:rPr>
        <w:t xml:space="preserve">Ob. cit. Nota 1 </w:t>
      </w:r>
      <w:r w:rsidRPr="00E55461">
        <w:rPr>
          <w:rFonts w:hAnsi="Calibri" w:cs="Calibri"/>
          <w:sz w:val="22"/>
          <w:szCs w:val="22"/>
        </w:rPr>
        <w:t>art. 148. Los resultados de fuente argentina obtenidos por la sociedad del exterior deberían excluirse a los efectos del cálculo previsto en el régimen.</w:t>
      </w:r>
    </w:p>
  </w:footnote>
  <w:footnote w:id="87">
    <w:p w:rsidR="00D529C5" w:rsidRDefault="00D529C5" w:rsidP="008C215A">
      <w:pPr>
        <w:pStyle w:val="FootnoteText"/>
        <w:jc w:val="both"/>
      </w:pPr>
      <w:r w:rsidRPr="00E55461">
        <w:rPr>
          <w:rStyle w:val="FootnoteReference"/>
          <w:rFonts w:hAnsi="Calibri" w:cs="Calibri"/>
          <w:sz w:val="22"/>
          <w:szCs w:val="22"/>
        </w:rPr>
        <w:t>(</w:t>
      </w:r>
      <w:r w:rsidRPr="00E55461">
        <w:rPr>
          <w:rStyle w:val="FootnoteReference"/>
          <w:rFonts w:hAnsi="Calibri" w:cs="Calibri"/>
          <w:sz w:val="22"/>
          <w:szCs w:val="22"/>
        </w:rPr>
        <w:footnoteRef/>
      </w:r>
      <w:r w:rsidRPr="00E55461">
        <w:rPr>
          <w:rStyle w:val="FootnoteReference"/>
          <w:rFonts w:hAnsi="Calibri" w:cs="Calibri"/>
          <w:sz w:val="22"/>
          <w:szCs w:val="22"/>
        </w:rPr>
        <w:t>)</w:t>
      </w:r>
      <w:r w:rsidRPr="00E55461">
        <w:rPr>
          <w:rFonts w:hAnsi="Calibri" w:cs="Calibri"/>
          <w:sz w:val="22"/>
          <w:szCs w:val="22"/>
        </w:rPr>
        <w:t xml:space="preserve"> MALHERBE, Ja</w:t>
      </w:r>
      <w:r>
        <w:rPr>
          <w:rFonts w:hAnsi="Calibri" w:cs="Calibri"/>
          <w:sz w:val="22"/>
          <w:szCs w:val="22"/>
        </w:rPr>
        <w:t>c</w:t>
      </w:r>
      <w:r w:rsidRPr="00E55461">
        <w:rPr>
          <w:rFonts w:hAnsi="Calibri" w:cs="Calibri"/>
          <w:sz w:val="22"/>
          <w:szCs w:val="22"/>
        </w:rPr>
        <w:t xml:space="preserve">ques; </w:t>
      </w:r>
      <w:r w:rsidRPr="00E55461">
        <w:rPr>
          <w:rFonts w:hAnsi="Calibri" w:cs="Calibri"/>
          <w:i/>
          <w:sz w:val="22"/>
          <w:szCs w:val="22"/>
        </w:rPr>
        <w:t>“Imputación de Ingresos en el caso de Fideicomisos y Sociedades Extranjeras Controladas”</w:t>
      </w:r>
      <w:r w:rsidRPr="00E55461">
        <w:rPr>
          <w:rFonts w:hAnsi="Calibri" w:cs="Calibri"/>
          <w:sz w:val="22"/>
          <w:szCs w:val="22"/>
        </w:rPr>
        <w:t xml:space="preserve"> 12° Congreso Tributario de la Ciudad Autónoma de Buenos Aires; Octubre de 2008, pág. 117.</w:t>
      </w:r>
    </w:p>
  </w:footnote>
  <w:footnote w:id="88">
    <w:p w:rsidR="00D529C5" w:rsidRDefault="00D529C5" w:rsidP="008C215A">
      <w:pPr>
        <w:pStyle w:val="FootnoteText"/>
        <w:jc w:val="both"/>
      </w:pPr>
      <w:r w:rsidRPr="00A332F4">
        <w:rPr>
          <w:rStyle w:val="FootnoteReference"/>
          <w:rFonts w:hAnsi="Calibri" w:cs="Calibri"/>
          <w:sz w:val="22"/>
          <w:szCs w:val="22"/>
        </w:rPr>
        <w:footnoteRef/>
      </w:r>
      <w:r w:rsidRPr="00A332F4">
        <w:rPr>
          <w:rFonts w:hAnsi="Calibri" w:cs="Calibri"/>
          <w:sz w:val="22"/>
          <w:szCs w:val="22"/>
        </w:rPr>
        <w:t xml:space="preserve"> </w:t>
      </w:r>
      <w:r w:rsidRPr="00C82FA7">
        <w:rPr>
          <w:rFonts w:hAnsi="Calibri" w:cs="Calibri"/>
          <w:sz w:val="22"/>
          <w:szCs w:val="22"/>
        </w:rPr>
        <w:t xml:space="preserve">Ob. cit. Nota 6 </w:t>
      </w:r>
      <w:r w:rsidRPr="00A332F4">
        <w:rPr>
          <w:rFonts w:hAnsi="Calibri" w:cs="Calibri"/>
          <w:sz w:val="22"/>
          <w:szCs w:val="22"/>
        </w:rPr>
        <w:t>segundo art. incorporado a continuación del art. VI incorporado a continuación del art. 165.</w:t>
      </w:r>
    </w:p>
  </w:footnote>
  <w:footnote w:id="89">
    <w:p w:rsidR="00D529C5" w:rsidRDefault="00D529C5" w:rsidP="008C215A">
      <w:pPr>
        <w:pStyle w:val="FootnoteText"/>
        <w:jc w:val="both"/>
      </w:pPr>
      <w:r w:rsidRPr="00A332F4">
        <w:rPr>
          <w:rStyle w:val="FootnoteReference"/>
          <w:rFonts w:hAnsi="Calibri" w:cs="Calibri"/>
          <w:sz w:val="22"/>
          <w:szCs w:val="22"/>
        </w:rPr>
        <w:footnoteRef/>
      </w:r>
      <w:r w:rsidRPr="00A332F4">
        <w:rPr>
          <w:rFonts w:hAnsi="Calibri" w:cs="Calibri"/>
          <w:sz w:val="22"/>
          <w:szCs w:val="22"/>
        </w:rPr>
        <w:t xml:space="preserve"> </w:t>
      </w:r>
      <w:r w:rsidRPr="00C82FA7">
        <w:rPr>
          <w:rFonts w:hAnsi="Calibri" w:cs="Calibri"/>
          <w:sz w:val="22"/>
          <w:szCs w:val="22"/>
        </w:rPr>
        <w:t xml:space="preserve">Ob. cit. Nota 6 </w:t>
      </w:r>
      <w:r w:rsidRPr="00A332F4">
        <w:rPr>
          <w:rFonts w:hAnsi="Calibri" w:cs="Calibri"/>
          <w:sz w:val="22"/>
          <w:szCs w:val="22"/>
        </w:rPr>
        <w:t>primer art. incorporado a continuación del art. VI incorporado a continuación del art. 165.</w:t>
      </w:r>
    </w:p>
  </w:footnote>
  <w:footnote w:id="90">
    <w:p w:rsidR="00D529C5" w:rsidRPr="00A332F4" w:rsidRDefault="00D529C5" w:rsidP="008C215A">
      <w:pPr>
        <w:pStyle w:val="FootnoteText"/>
        <w:jc w:val="both"/>
        <w:rPr>
          <w:rFonts w:hAnsi="Calibri" w:cs="Calibri"/>
          <w:i/>
          <w:sz w:val="22"/>
          <w:szCs w:val="22"/>
        </w:rPr>
      </w:pPr>
      <w:r w:rsidRPr="00A332F4">
        <w:rPr>
          <w:rStyle w:val="FootnoteReference"/>
          <w:rFonts w:hAnsi="Calibri" w:cs="Calibri"/>
          <w:sz w:val="22"/>
          <w:szCs w:val="22"/>
        </w:rPr>
        <w:footnoteRef/>
      </w:r>
      <w:r w:rsidRPr="00A332F4">
        <w:rPr>
          <w:rFonts w:hAnsi="Calibri" w:cs="Calibri"/>
          <w:sz w:val="22"/>
          <w:szCs w:val="22"/>
        </w:rPr>
        <w:t xml:space="preserve"> AFIP ABC - Consultas y Respuestas Frecuentes sobre Normativa, Aplicativos y Sistemas. </w:t>
      </w:r>
      <w:r w:rsidRPr="00A332F4">
        <w:rPr>
          <w:rFonts w:hAnsi="Calibri" w:cs="Calibri"/>
          <w:i/>
          <w:sz w:val="22"/>
          <w:szCs w:val="22"/>
        </w:rPr>
        <w:t>[¿]Cómo deberán valuarse las acciones, participaciones, partes de interés o beneficios en entidades activas del país y del exterior? ¿y cuál será el tratamiento cuando se trate de entidades pasivas del país y del exterior?</w:t>
      </w:r>
    </w:p>
    <w:p w:rsidR="00D529C5" w:rsidRPr="00A332F4" w:rsidRDefault="00D529C5" w:rsidP="008C215A">
      <w:pPr>
        <w:pStyle w:val="FootnoteText"/>
        <w:jc w:val="both"/>
        <w:rPr>
          <w:rFonts w:hAnsi="Calibri" w:cs="Calibri"/>
          <w:i/>
          <w:sz w:val="22"/>
          <w:szCs w:val="22"/>
        </w:rPr>
      </w:pPr>
      <w:r w:rsidRPr="00A332F4">
        <w:rPr>
          <w:rFonts w:hAnsi="Calibri" w:cs="Calibri"/>
          <w:i/>
          <w:sz w:val="22"/>
          <w:szCs w:val="22"/>
        </w:rPr>
        <w:t>El artículo 6° del Decreto 895/16 dispone que las acciones, participaciones, partes de interés o beneficios en entidades consideradas activas, del país o del exterior, deberán valuarse al valor patrimonial proporcional que surja del último balance cerrado con anterioridad al 01/01/2016 o, para el caso de entes constituidos en el exterior, del balance especial confeccionado a la fecha de promulgación de la ley respectivamente].</w:t>
      </w:r>
    </w:p>
    <w:p w:rsidR="00D529C5" w:rsidRPr="00A332F4" w:rsidRDefault="00D529C5" w:rsidP="007149D3">
      <w:pPr>
        <w:pStyle w:val="FootnoteText"/>
        <w:jc w:val="both"/>
        <w:rPr>
          <w:rFonts w:hAnsi="Calibri" w:cs="Calibri"/>
          <w:sz w:val="22"/>
          <w:szCs w:val="22"/>
        </w:rPr>
      </w:pPr>
      <w:r w:rsidRPr="00A332F4">
        <w:rPr>
          <w:rFonts w:hAnsi="Calibri" w:cs="Calibri"/>
          <w:sz w:val="22"/>
          <w:szCs w:val="22"/>
        </w:rPr>
        <w:t>Por su parte, las acciones, participaciones, partes de interés o beneficios en sociedades pasivas del país y del exterior, deberán valuarse al valor patrimonial de los activos que surja de los referidos balances. [en línea]</w:t>
      </w:r>
    </w:p>
    <w:p w:rsidR="00D529C5" w:rsidRDefault="00D529C5" w:rsidP="007149D3">
      <w:pPr>
        <w:pStyle w:val="FootnoteText"/>
        <w:jc w:val="both"/>
      </w:pPr>
      <w:hyperlink r:id="rId17" w:history="1">
        <w:r w:rsidRPr="00A332F4">
          <w:rPr>
            <w:rStyle w:val="Hyperlink"/>
            <w:rFonts w:hAnsi="Calibri" w:cs="Calibri"/>
            <w:color w:val="auto"/>
            <w:sz w:val="22"/>
            <w:szCs w:val="22"/>
          </w:rPr>
          <w:t>http://www.afip.gov.ar/genericos/guiavirtual/consultas_detalle.aspx?id=21528048</w:t>
        </w:r>
      </w:hyperlink>
    </w:p>
  </w:footnote>
  <w:footnote w:id="91">
    <w:p w:rsidR="00D529C5" w:rsidRDefault="00D529C5" w:rsidP="007149D3">
      <w:pPr>
        <w:pStyle w:val="FootnoteText"/>
        <w:jc w:val="both"/>
      </w:pPr>
      <w:r w:rsidRPr="007149D3">
        <w:rPr>
          <w:rStyle w:val="FootnoteReference"/>
          <w:rFonts w:hAnsi="Calibri" w:cs="Calibri"/>
          <w:sz w:val="22"/>
          <w:szCs w:val="22"/>
        </w:rPr>
        <w:footnoteRef/>
      </w:r>
      <w:r>
        <w:rPr>
          <w:rFonts w:hAnsi="Calibri" w:cs="Calibri"/>
          <w:sz w:val="22"/>
          <w:szCs w:val="22"/>
        </w:rPr>
        <w:t xml:space="preserve"> Al respecto, surge </w:t>
      </w:r>
      <w:r w:rsidRPr="007149D3">
        <w:rPr>
          <w:rFonts w:hAnsi="Calibri" w:cs="Calibri"/>
          <w:sz w:val="22"/>
          <w:szCs w:val="22"/>
        </w:rPr>
        <w:t>la duda</w:t>
      </w:r>
      <w:r>
        <w:rPr>
          <w:rFonts w:hAnsi="Calibri" w:cs="Calibri"/>
          <w:sz w:val="22"/>
          <w:szCs w:val="22"/>
        </w:rPr>
        <w:t xml:space="preserve"> de</w:t>
      </w:r>
      <w:r w:rsidRPr="007149D3">
        <w:rPr>
          <w:rFonts w:hAnsi="Calibri" w:cs="Calibri"/>
          <w:sz w:val="22"/>
          <w:szCs w:val="22"/>
        </w:rPr>
        <w:t xml:space="preserve"> si en vez de “o” el texto debió </w:t>
      </w:r>
      <w:r>
        <w:rPr>
          <w:rFonts w:hAnsi="Calibri" w:cs="Calibri"/>
          <w:sz w:val="22"/>
          <w:szCs w:val="22"/>
        </w:rPr>
        <w:t>decir “y”.</w:t>
      </w:r>
    </w:p>
  </w:footnote>
  <w:footnote w:id="92">
    <w:p w:rsidR="00D529C5" w:rsidRDefault="00D529C5" w:rsidP="007149D3">
      <w:pPr>
        <w:pStyle w:val="FootnoteText"/>
        <w:jc w:val="both"/>
      </w:pPr>
      <w:r w:rsidRPr="00FB3E5D">
        <w:rPr>
          <w:rStyle w:val="FootnoteReference"/>
          <w:rFonts w:hAnsi="Calibri" w:cs="Calibri"/>
          <w:sz w:val="22"/>
          <w:szCs w:val="22"/>
        </w:rPr>
        <w:footnoteRef/>
      </w:r>
      <w:r w:rsidRPr="00353AB6">
        <w:rPr>
          <w:rFonts w:hAnsi="Calibri" w:cs="Calibri"/>
          <w:sz w:val="22"/>
          <w:szCs w:val="22"/>
          <w:lang w:val="it-IT"/>
        </w:rPr>
        <w:t xml:space="preserve"> </w:t>
      </w:r>
      <w:r w:rsidRPr="00353AB6">
        <w:rPr>
          <w:rFonts w:hAnsi="Calibri"/>
          <w:color w:val="000000"/>
          <w:sz w:val="22"/>
          <w:szCs w:val="22"/>
          <w:shd w:val="clear" w:color="auto" w:fill="FFFFFF"/>
          <w:lang w:val="it-IT"/>
        </w:rPr>
        <w:t xml:space="preserve">LORENZO, Armando J. EDELSTEIN, Andrés M. II. </w:t>
      </w:r>
      <w:r w:rsidRPr="00FB3E5D">
        <w:rPr>
          <w:rFonts w:hAnsi="Calibri"/>
          <w:color w:val="000000"/>
          <w:sz w:val="22"/>
          <w:szCs w:val="22"/>
          <w:shd w:val="clear" w:color="auto" w:fill="FFFFFF"/>
        </w:rPr>
        <w:t xml:space="preserve">CALCAGNO, Gabriel A.; </w:t>
      </w:r>
      <w:r w:rsidRPr="00FB3E5D">
        <w:rPr>
          <w:rFonts w:hAnsi="Calibri"/>
          <w:i/>
          <w:color w:val="000000"/>
          <w:sz w:val="22"/>
          <w:szCs w:val="22"/>
          <w:shd w:val="clear" w:color="auto" w:fill="FFFFFF"/>
        </w:rPr>
        <w:t>“Impuesto a las ganancias. Nuevas regulaciones para rentas de fuente extranjera”;</w:t>
      </w:r>
      <w:r w:rsidRPr="00FB3E5D">
        <w:rPr>
          <w:rFonts w:hAnsi="Calibri"/>
          <w:color w:val="000000"/>
          <w:sz w:val="22"/>
          <w:szCs w:val="22"/>
          <w:shd w:val="clear" w:color="auto" w:fill="FFFFFF"/>
        </w:rPr>
        <w:t xml:space="preserve"> Práctica Tributaria en Doctrina Tributaria; Vol. T. 22, No. 254; Ed. Errepar; Mayo 2001.</w:t>
      </w:r>
    </w:p>
  </w:footnote>
  <w:footnote w:id="93">
    <w:p w:rsidR="00D529C5" w:rsidRDefault="00D529C5" w:rsidP="00897CC2">
      <w:pPr>
        <w:pStyle w:val="FootnoteText"/>
        <w:jc w:val="both"/>
      </w:pPr>
      <w:r w:rsidRPr="00897CC2">
        <w:rPr>
          <w:rStyle w:val="FootnoteReference"/>
          <w:sz w:val="22"/>
          <w:szCs w:val="22"/>
        </w:rPr>
        <w:footnoteRef/>
      </w:r>
      <w:r w:rsidRPr="00897CC2">
        <w:rPr>
          <w:sz w:val="22"/>
          <w:szCs w:val="22"/>
        </w:rPr>
        <w:t xml:space="preserve"> </w:t>
      </w:r>
      <w:r w:rsidRPr="00C82FA7">
        <w:rPr>
          <w:rFonts w:hAnsi="Calibri" w:cs="Calibri"/>
          <w:sz w:val="22"/>
          <w:szCs w:val="22"/>
        </w:rPr>
        <w:t xml:space="preserve">Ob. cit. Nota 6 </w:t>
      </w:r>
      <w:r w:rsidRPr="00897CC2">
        <w:rPr>
          <w:rFonts w:hAnsi="Calibri" w:cs="Calibri"/>
          <w:sz w:val="22"/>
          <w:szCs w:val="22"/>
        </w:rPr>
        <w:t>primer art. incorporado a continuación del art. VI incorporado a continuación del art. 165, pár. 3.</w:t>
      </w:r>
    </w:p>
  </w:footnote>
  <w:footnote w:id="94">
    <w:p w:rsidR="00D529C5" w:rsidRDefault="00D529C5" w:rsidP="00897CC2">
      <w:pPr>
        <w:pStyle w:val="FootnoteText"/>
        <w:jc w:val="both"/>
      </w:pPr>
      <w:r w:rsidRPr="00897CC2">
        <w:rPr>
          <w:rStyle w:val="FootnoteReference"/>
          <w:rFonts w:hAnsi="Calibri" w:cs="Calibri"/>
          <w:sz w:val="22"/>
          <w:szCs w:val="22"/>
        </w:rPr>
        <w:footnoteRef/>
      </w:r>
      <w:r w:rsidRPr="00353AB6">
        <w:rPr>
          <w:rFonts w:hAnsi="Calibri" w:cs="Calibri"/>
          <w:sz w:val="22"/>
          <w:szCs w:val="22"/>
          <w:lang w:val="es-ES"/>
        </w:rPr>
        <w:t xml:space="preserve"> Ob. cit. Nota 1 art. 77, pár. 1.</w:t>
      </w:r>
    </w:p>
  </w:footnote>
  <w:footnote w:id="95">
    <w:p w:rsidR="00D529C5" w:rsidRDefault="00D529C5" w:rsidP="00897CC2">
      <w:pPr>
        <w:pStyle w:val="FootnoteText"/>
        <w:jc w:val="both"/>
      </w:pPr>
      <w:r w:rsidRPr="00897CC2">
        <w:rPr>
          <w:rStyle w:val="FootnoteReference"/>
          <w:rFonts w:hAnsi="Calibri" w:cs="Calibri"/>
          <w:sz w:val="22"/>
          <w:szCs w:val="22"/>
        </w:rPr>
        <w:footnoteRef/>
      </w:r>
      <w:r w:rsidRPr="00897CC2">
        <w:rPr>
          <w:rFonts w:hAnsi="Calibri" w:cs="Calibri"/>
          <w:sz w:val="22"/>
          <w:szCs w:val="22"/>
        </w:rPr>
        <w:t xml:space="preserve"> AFIP DGI; Dirección de Asesoría Técnica (DI ATEC); Dictamen 54/05; del 13/09/2005. Disponible en Base de Datos </w:t>
      </w:r>
      <w:r w:rsidRPr="00897CC2">
        <w:rPr>
          <w:rFonts w:hAnsi="Calibri" w:cs="Calibri"/>
          <w:i/>
          <w:sz w:val="22"/>
          <w:szCs w:val="22"/>
        </w:rPr>
        <w:t>AFIP Biblioteca Electrónica</w:t>
      </w:r>
      <w:r w:rsidRPr="00897CC2">
        <w:rPr>
          <w:rFonts w:hAnsi="Calibri" w:cs="Calibri"/>
          <w:sz w:val="22"/>
          <w:szCs w:val="22"/>
        </w:rPr>
        <w:t>.</w:t>
      </w:r>
    </w:p>
  </w:footnote>
  <w:footnote w:id="96">
    <w:p w:rsidR="00D529C5" w:rsidRDefault="00D529C5" w:rsidP="001F0605">
      <w:pPr>
        <w:pStyle w:val="FootnoteText"/>
        <w:jc w:val="both"/>
      </w:pPr>
      <w:r w:rsidRPr="00A332F4">
        <w:rPr>
          <w:rStyle w:val="FootnoteReference"/>
          <w:rFonts w:hAnsi="Calibri" w:cs="Calibri"/>
          <w:sz w:val="22"/>
          <w:szCs w:val="22"/>
        </w:rPr>
        <w:footnoteRef/>
      </w:r>
      <w:r w:rsidRPr="00A332F4">
        <w:rPr>
          <w:rFonts w:hAnsi="Calibri" w:cs="Calibri"/>
          <w:sz w:val="22"/>
          <w:szCs w:val="22"/>
        </w:rPr>
        <w:t xml:space="preserve"> </w:t>
      </w:r>
      <w:r w:rsidRPr="00C82FA7">
        <w:rPr>
          <w:rFonts w:hAnsi="Calibri" w:cs="Calibri"/>
          <w:sz w:val="22"/>
          <w:szCs w:val="22"/>
        </w:rPr>
        <w:t xml:space="preserve">Ob. cit. Nota 6 </w:t>
      </w:r>
      <w:r w:rsidRPr="00A332F4">
        <w:rPr>
          <w:rFonts w:hAnsi="Calibri" w:cs="Calibri"/>
          <w:sz w:val="22"/>
          <w:szCs w:val="22"/>
        </w:rPr>
        <w:t>cuarto art. incorporado a continuación del art. VI incorporado a continuación del art. 165.</w:t>
      </w:r>
    </w:p>
  </w:footnote>
  <w:footnote w:id="97">
    <w:p w:rsidR="00D529C5" w:rsidRDefault="00D529C5" w:rsidP="00094D4F">
      <w:pPr>
        <w:pStyle w:val="FootnoteText"/>
        <w:jc w:val="both"/>
      </w:pPr>
      <w:r w:rsidRPr="00C34A1D">
        <w:rPr>
          <w:rStyle w:val="FootnoteReference"/>
          <w:sz w:val="22"/>
          <w:szCs w:val="22"/>
        </w:rPr>
        <w:footnoteRef/>
      </w:r>
      <w:r w:rsidRPr="00C34A1D">
        <w:rPr>
          <w:sz w:val="22"/>
          <w:szCs w:val="22"/>
        </w:rPr>
        <w:t xml:space="preserve"> </w:t>
      </w:r>
      <w:r w:rsidRPr="00C34A1D">
        <w:rPr>
          <w:rFonts w:hAnsi="Calibri"/>
          <w:sz w:val="22"/>
          <w:szCs w:val="22"/>
        </w:rPr>
        <w:t>Ley 24.083 y sus modificatorias (B.O. 18/06/1992)</w:t>
      </w:r>
      <w:r w:rsidRPr="00C34A1D">
        <w:rPr>
          <w:rFonts w:hAnsi="Calibri" w:cs="Calibri"/>
          <w:sz w:val="22"/>
          <w:szCs w:val="22"/>
        </w:rPr>
        <w:t xml:space="preserve">; Disponible en Base de Datos </w:t>
      </w:r>
      <w:r w:rsidRPr="00C34A1D">
        <w:rPr>
          <w:rFonts w:hAnsi="Calibri" w:cs="Calibri"/>
          <w:i/>
          <w:sz w:val="22"/>
          <w:szCs w:val="22"/>
        </w:rPr>
        <w:t>Infoleg – Información Legislativa.</w:t>
      </w:r>
    </w:p>
  </w:footnote>
  <w:footnote w:id="98">
    <w:p w:rsidR="00D529C5" w:rsidRDefault="00D529C5" w:rsidP="00E761FF">
      <w:pPr>
        <w:pStyle w:val="FootnoteText"/>
        <w:jc w:val="both"/>
      </w:pPr>
      <w:r w:rsidRPr="00C34A1D">
        <w:rPr>
          <w:rStyle w:val="FootnoteReference"/>
          <w:rFonts w:hAnsi="Calibri" w:cs="Calibri"/>
          <w:sz w:val="22"/>
          <w:szCs w:val="22"/>
        </w:rPr>
        <w:footnoteRef/>
      </w:r>
      <w:r>
        <w:rPr>
          <w:rFonts w:hAnsi="Calibri" w:cs="Calibri"/>
          <w:sz w:val="22"/>
          <w:szCs w:val="22"/>
        </w:rPr>
        <w:t xml:space="preserve"> </w:t>
      </w:r>
      <w:r w:rsidRPr="00800E42">
        <w:rPr>
          <w:rFonts w:hAnsi="Calibri" w:cs="Calibri"/>
          <w:sz w:val="22"/>
          <w:szCs w:val="22"/>
        </w:rPr>
        <w:t xml:space="preserve">Ob. cit. Nota </w:t>
      </w:r>
      <w:r>
        <w:rPr>
          <w:rFonts w:hAnsi="Calibri" w:cs="Calibri"/>
          <w:sz w:val="22"/>
          <w:szCs w:val="22"/>
        </w:rPr>
        <w:t>65.</w:t>
      </w:r>
    </w:p>
  </w:footnote>
  <w:footnote w:id="99">
    <w:p w:rsidR="00D529C5" w:rsidRDefault="00D529C5" w:rsidP="00B96AE7">
      <w:pPr>
        <w:pStyle w:val="FootnoteText"/>
        <w:jc w:val="both"/>
      </w:pPr>
      <w:r w:rsidRPr="00B96AE7">
        <w:rPr>
          <w:rStyle w:val="FootnoteReference"/>
          <w:sz w:val="22"/>
          <w:szCs w:val="22"/>
        </w:rPr>
        <w:footnoteRef/>
      </w:r>
      <w:r w:rsidRPr="00B96AE7">
        <w:rPr>
          <w:sz w:val="22"/>
          <w:szCs w:val="22"/>
        </w:rPr>
        <w:t xml:space="preserve"> </w:t>
      </w:r>
      <w:r w:rsidRPr="00C82FA7">
        <w:rPr>
          <w:rFonts w:hAnsi="Calibri" w:cs="Calibri"/>
          <w:sz w:val="22"/>
          <w:szCs w:val="22"/>
        </w:rPr>
        <w:t>Ob. cit. Nota 6</w:t>
      </w:r>
      <w:r w:rsidRPr="00B96AE7">
        <w:rPr>
          <w:sz w:val="22"/>
          <w:szCs w:val="22"/>
        </w:rPr>
        <w:t xml:space="preserve"> </w:t>
      </w:r>
      <w:r w:rsidRPr="00B96AE7">
        <w:rPr>
          <w:rFonts w:hAnsi="Calibri" w:cs="Calibri"/>
          <w:sz w:val="22"/>
          <w:szCs w:val="22"/>
          <w:lang w:val="es-ES" w:eastAsia="es-ES"/>
        </w:rPr>
        <w:t>artículo incorporado a continuación del art. … XIII incorporado a continuación del artículo 165, pár 3.</w:t>
      </w:r>
    </w:p>
  </w:footnote>
  <w:footnote w:id="100">
    <w:p w:rsidR="00D529C5" w:rsidRDefault="00D529C5" w:rsidP="00B96AE7">
      <w:pPr>
        <w:autoSpaceDE w:val="0"/>
        <w:autoSpaceDN w:val="0"/>
        <w:adjustRightInd w:val="0"/>
        <w:spacing w:after="0" w:line="240" w:lineRule="auto"/>
        <w:jc w:val="both"/>
      </w:pPr>
      <w:r w:rsidRPr="00B96AE7">
        <w:rPr>
          <w:rStyle w:val="FootnoteReference"/>
          <w:rFonts w:hAnsi="Calibri" w:cs="Calibri"/>
        </w:rPr>
        <w:footnoteRef/>
      </w:r>
      <w:r w:rsidRPr="00B96AE7">
        <w:rPr>
          <w:rFonts w:hAnsi="Calibri" w:cs="Calibri"/>
        </w:rPr>
        <w:t xml:space="preserve"> “Incidente de Recursos de Apelaciones Interpuestos por la Defensa de Matilde, Ana María Noble Mitre de Saguier y Alejandro Julio Saguier y la Querella". </w:t>
      </w:r>
      <w:r w:rsidRPr="00B96AE7">
        <w:rPr>
          <w:rFonts w:hAnsi="Calibri" w:cs="Calibri"/>
          <w:lang w:val="fr-FR"/>
        </w:rPr>
        <w:t xml:space="preserve">J.PT. N° 1. Expte. N° 56.487. </w:t>
      </w:r>
      <w:r w:rsidRPr="00B96AE7">
        <w:rPr>
          <w:rFonts w:hAnsi="Calibri" w:cs="Calibri"/>
        </w:rPr>
        <w:t>Orden N° 21.054, de la Sala "B", 27 de Noviembre de 2008.</w:t>
      </w:r>
    </w:p>
  </w:footnote>
  <w:footnote w:id="101">
    <w:p w:rsidR="00D529C5" w:rsidRDefault="00D529C5" w:rsidP="008C215A">
      <w:pPr>
        <w:pStyle w:val="FootnoteText"/>
        <w:jc w:val="both"/>
      </w:pPr>
      <w:r w:rsidRPr="00534963">
        <w:rPr>
          <w:rStyle w:val="FootnoteReference"/>
          <w:rFonts w:hAnsi="Calibri"/>
          <w:sz w:val="22"/>
          <w:szCs w:val="22"/>
        </w:rPr>
        <w:footnoteRef/>
      </w:r>
      <w:r w:rsidRPr="00534963">
        <w:rPr>
          <w:rFonts w:hAnsi="Calibri"/>
          <w:sz w:val="22"/>
          <w:szCs w:val="22"/>
        </w:rPr>
        <w:t xml:space="preserve"> </w:t>
      </w:r>
      <w:r w:rsidRPr="00800E42">
        <w:rPr>
          <w:rFonts w:hAnsi="Calibri" w:cs="Calibri"/>
          <w:sz w:val="22"/>
          <w:szCs w:val="22"/>
        </w:rPr>
        <w:t xml:space="preserve">Ob. cit. Nota </w:t>
      </w:r>
      <w:r>
        <w:rPr>
          <w:rFonts w:hAnsi="Calibri" w:cs="Calibri"/>
          <w:sz w:val="22"/>
          <w:szCs w:val="22"/>
        </w:rPr>
        <w:t xml:space="preserve">99 </w:t>
      </w:r>
      <w:r w:rsidRPr="00534963">
        <w:rPr>
          <w:rFonts w:hAnsi="Calibri"/>
          <w:sz w:val="22"/>
          <w:szCs w:val="22"/>
        </w:rPr>
        <w:t>pár. 25).</w:t>
      </w:r>
    </w:p>
  </w:footnote>
  <w:footnote w:id="102">
    <w:p w:rsidR="00D529C5" w:rsidRDefault="00D529C5" w:rsidP="008C215A">
      <w:pPr>
        <w:pStyle w:val="FootnoteText"/>
        <w:jc w:val="both"/>
      </w:pPr>
      <w:r w:rsidRPr="00534963">
        <w:rPr>
          <w:rStyle w:val="FootnoteReference"/>
          <w:rFonts w:hAnsi="Calibri"/>
          <w:sz w:val="22"/>
          <w:szCs w:val="22"/>
        </w:rPr>
        <w:footnoteRef/>
      </w:r>
      <w:r w:rsidRPr="00534963">
        <w:rPr>
          <w:rFonts w:hAnsi="Calibri"/>
          <w:sz w:val="22"/>
          <w:szCs w:val="22"/>
        </w:rPr>
        <w:t xml:space="preserve"> </w:t>
      </w:r>
      <w:r w:rsidRPr="00800E42">
        <w:rPr>
          <w:rFonts w:hAnsi="Calibri" w:cs="Calibri"/>
          <w:sz w:val="22"/>
          <w:szCs w:val="22"/>
        </w:rPr>
        <w:t>Ob. cit. Nota</w:t>
      </w:r>
      <w:r>
        <w:rPr>
          <w:rFonts w:hAnsi="Calibri" w:cs="Calibri"/>
          <w:sz w:val="22"/>
          <w:szCs w:val="22"/>
        </w:rPr>
        <w:t xml:space="preserve"> 99 </w:t>
      </w:r>
      <w:r w:rsidRPr="00534963">
        <w:rPr>
          <w:rFonts w:hAnsi="Calibri"/>
          <w:sz w:val="22"/>
          <w:szCs w:val="22"/>
        </w:rPr>
        <w:t>pár. 26).</w:t>
      </w:r>
    </w:p>
  </w:footnote>
  <w:footnote w:id="103">
    <w:p w:rsidR="00D529C5" w:rsidRDefault="00D529C5" w:rsidP="008C215A">
      <w:pPr>
        <w:pStyle w:val="FootnoteText"/>
        <w:jc w:val="both"/>
      </w:pPr>
      <w:r w:rsidRPr="0018200D">
        <w:rPr>
          <w:rStyle w:val="FootnoteReference"/>
          <w:rFonts w:hAnsi="Calibri" w:cs="Calibri"/>
          <w:sz w:val="22"/>
          <w:szCs w:val="22"/>
        </w:rPr>
        <w:footnoteRef/>
      </w:r>
      <w:r w:rsidRPr="00353AB6">
        <w:rPr>
          <w:rFonts w:hAnsi="Calibri" w:cs="Calibri"/>
          <w:sz w:val="22"/>
          <w:szCs w:val="22"/>
          <w:lang w:val="es-ES"/>
        </w:rPr>
        <w:t xml:space="preserve"> Ob. cit. Nota 1 art. 140 inc b) pár 1.</w:t>
      </w:r>
    </w:p>
  </w:footnote>
  <w:footnote w:id="104">
    <w:p w:rsidR="00D529C5" w:rsidRDefault="00D529C5" w:rsidP="008C215A">
      <w:pPr>
        <w:pStyle w:val="FootnoteText"/>
        <w:jc w:val="both"/>
      </w:pPr>
      <w:r w:rsidRPr="00526D74">
        <w:rPr>
          <w:rStyle w:val="FootnoteReference"/>
          <w:rFonts w:hAnsi="Calibri"/>
          <w:sz w:val="22"/>
          <w:szCs w:val="22"/>
        </w:rPr>
        <w:footnoteRef/>
      </w:r>
      <w:r w:rsidRPr="00526D74">
        <w:rPr>
          <w:rFonts w:hAnsi="Calibri"/>
          <w:sz w:val="22"/>
          <w:szCs w:val="22"/>
        </w:rPr>
        <w:t xml:space="preserve"> RAJMILOVICH, Darío M.</w:t>
      </w:r>
      <w:r>
        <w:rPr>
          <w:rFonts w:hAnsi="Calibri"/>
          <w:sz w:val="22"/>
          <w:szCs w:val="22"/>
        </w:rPr>
        <w:t>;</w:t>
      </w:r>
      <w:r w:rsidRPr="00526D74">
        <w:rPr>
          <w:rFonts w:hAnsi="Calibri"/>
          <w:sz w:val="22"/>
          <w:szCs w:val="22"/>
        </w:rPr>
        <w:t xml:space="preserve"> </w:t>
      </w:r>
      <w:r w:rsidRPr="00526D74">
        <w:rPr>
          <w:rFonts w:hAnsi="Calibri"/>
          <w:i/>
          <w:sz w:val="22"/>
          <w:szCs w:val="22"/>
        </w:rPr>
        <w:t>“La renta mundial en el impuesto a las ganancias”</w:t>
      </w:r>
      <w:r w:rsidRPr="00526D74">
        <w:rPr>
          <w:rFonts w:hAnsi="Calibri"/>
          <w:sz w:val="22"/>
          <w:szCs w:val="22"/>
        </w:rPr>
        <w:t>, Ed. La Ley, pág. 232</w:t>
      </w:r>
      <w:r>
        <w:rPr>
          <w:rFonts w:hAnsi="Calibri"/>
          <w:sz w:val="22"/>
          <w:szCs w:val="22"/>
        </w:rPr>
        <w:t>.</w:t>
      </w:r>
    </w:p>
  </w:footnote>
  <w:footnote w:id="105">
    <w:p w:rsidR="00D529C5" w:rsidRDefault="00D529C5" w:rsidP="008C215A">
      <w:pPr>
        <w:pStyle w:val="FootnoteText"/>
        <w:jc w:val="both"/>
      </w:pPr>
      <w:r w:rsidRPr="00427182">
        <w:rPr>
          <w:rStyle w:val="FootnoteReference"/>
          <w:rFonts w:hAnsi="Calibri"/>
          <w:sz w:val="22"/>
          <w:szCs w:val="22"/>
        </w:rPr>
        <w:footnoteRef/>
      </w:r>
      <w:r w:rsidRPr="00427182">
        <w:rPr>
          <w:rFonts w:hAnsi="Calibri"/>
          <w:sz w:val="22"/>
          <w:szCs w:val="22"/>
        </w:rPr>
        <w:t xml:space="preserve"> </w:t>
      </w:r>
      <w:r w:rsidRPr="00427182">
        <w:rPr>
          <w:rFonts w:hAnsi="Calibri" w:cs="Calibri"/>
          <w:sz w:val="22"/>
          <w:szCs w:val="22"/>
        </w:rPr>
        <w:t xml:space="preserve">AFIP DGI; Dirección de Asesoría Legal (DAL); </w:t>
      </w:r>
      <w:r w:rsidRPr="00427182">
        <w:rPr>
          <w:rFonts w:hAnsi="Calibri"/>
          <w:sz w:val="22"/>
          <w:szCs w:val="22"/>
        </w:rPr>
        <w:t>Dictamen 23/00; del</w:t>
      </w:r>
      <w:r w:rsidRPr="00427182">
        <w:rPr>
          <w:rFonts w:hAnsi="Calibri" w:cs="Calibri"/>
          <w:sz w:val="22"/>
          <w:szCs w:val="22"/>
        </w:rPr>
        <w:t xml:space="preserve"> 07/08/2000. Disponible en Base de Datos </w:t>
      </w:r>
      <w:r w:rsidRPr="00427182">
        <w:rPr>
          <w:rFonts w:hAnsi="Calibri" w:cs="Calibri"/>
          <w:i/>
          <w:sz w:val="22"/>
          <w:szCs w:val="22"/>
        </w:rPr>
        <w:t>AFIP Biblioteca Electrónica</w:t>
      </w:r>
      <w:r w:rsidRPr="00427182">
        <w:rPr>
          <w:rFonts w:hAnsi="Calibri" w:cs="Calibri"/>
          <w:sz w:val="22"/>
          <w:szCs w:val="22"/>
        </w:rPr>
        <w:t>.</w:t>
      </w:r>
      <w:bookmarkStart w:id="60" w:name="_Hlk491046720"/>
      <w:r w:rsidRPr="00427182">
        <w:rPr>
          <w:rFonts w:hAnsi="Calibri" w:cs="Calibri"/>
          <w:sz w:val="22"/>
          <w:szCs w:val="22"/>
        </w:rPr>
        <w:t xml:space="preserve"> </w:t>
      </w:r>
      <w:bookmarkEnd w:id="60"/>
    </w:p>
  </w:footnote>
  <w:footnote w:id="106">
    <w:p w:rsidR="00D529C5" w:rsidRDefault="00D529C5" w:rsidP="008C215A">
      <w:pPr>
        <w:pStyle w:val="FootnoteText"/>
        <w:jc w:val="both"/>
      </w:pPr>
      <w:r w:rsidRPr="00427182">
        <w:rPr>
          <w:rStyle w:val="FootnoteReference"/>
          <w:rFonts w:hAnsi="Calibri"/>
          <w:sz w:val="22"/>
          <w:szCs w:val="22"/>
        </w:rPr>
        <w:footnoteRef/>
      </w:r>
      <w:r w:rsidRPr="00427182">
        <w:rPr>
          <w:rFonts w:hAnsi="Calibri"/>
          <w:sz w:val="22"/>
          <w:szCs w:val="22"/>
        </w:rPr>
        <w:t xml:space="preserve"> </w:t>
      </w:r>
      <w:r w:rsidRPr="00427182">
        <w:rPr>
          <w:rFonts w:hAnsi="Calibri" w:cs="Calibri"/>
          <w:sz w:val="22"/>
          <w:szCs w:val="22"/>
        </w:rPr>
        <w:t xml:space="preserve">AFIP DGI Dirección de Asesoría Técnica (DAT); Dictamen </w:t>
      </w:r>
      <w:r w:rsidRPr="00427182">
        <w:rPr>
          <w:rFonts w:hAnsi="Calibri"/>
          <w:sz w:val="22"/>
          <w:szCs w:val="22"/>
        </w:rPr>
        <w:t>9/13; del</w:t>
      </w:r>
      <w:r w:rsidRPr="00427182">
        <w:rPr>
          <w:rFonts w:hAnsi="Calibri" w:cs="Arial"/>
          <w:sz w:val="22"/>
          <w:szCs w:val="22"/>
        </w:rPr>
        <w:t xml:space="preserve"> 08/02/2013. </w:t>
      </w:r>
      <w:r w:rsidRPr="00427182">
        <w:rPr>
          <w:rFonts w:hAnsi="Calibri" w:cs="Calibri"/>
          <w:sz w:val="22"/>
          <w:szCs w:val="22"/>
        </w:rPr>
        <w:t xml:space="preserve">Disponible en Base de Datos </w:t>
      </w:r>
      <w:r w:rsidRPr="00427182">
        <w:rPr>
          <w:rFonts w:hAnsi="Calibri" w:cs="Calibri"/>
          <w:i/>
          <w:sz w:val="22"/>
          <w:szCs w:val="22"/>
        </w:rPr>
        <w:t>AFIP Biblioteca Electrónica</w:t>
      </w:r>
      <w:r w:rsidRPr="00427182">
        <w:rPr>
          <w:rFonts w:hAnsi="Calibri" w:cs="Calibri"/>
          <w:sz w:val="22"/>
          <w:szCs w:val="22"/>
        </w:rPr>
        <w:t xml:space="preserve">. </w:t>
      </w:r>
    </w:p>
  </w:footnote>
  <w:footnote w:id="107">
    <w:p w:rsidR="00D529C5" w:rsidRDefault="00D529C5" w:rsidP="008C215A">
      <w:pPr>
        <w:pStyle w:val="FootnoteText"/>
        <w:jc w:val="both"/>
      </w:pPr>
      <w:r w:rsidRPr="004D2A57">
        <w:rPr>
          <w:rStyle w:val="FootnoteReference"/>
          <w:rFonts w:hAnsi="Calibri"/>
          <w:sz w:val="22"/>
          <w:szCs w:val="22"/>
        </w:rPr>
        <w:footnoteRef/>
      </w:r>
      <w:r w:rsidRPr="006F5ACC">
        <w:rPr>
          <w:rFonts w:hAnsi="Calibri"/>
          <w:sz w:val="22"/>
          <w:szCs w:val="22"/>
        </w:rPr>
        <w:t xml:space="preserve"> </w:t>
      </w:r>
      <w:r w:rsidRPr="006F5ACC">
        <w:rPr>
          <w:rFonts w:hAnsi="Calibri" w:cs="Calibri"/>
          <w:sz w:val="22"/>
          <w:szCs w:val="22"/>
        </w:rPr>
        <w:t xml:space="preserve">Ob. cit. </w:t>
      </w:r>
      <w:r w:rsidRPr="00353AB6">
        <w:rPr>
          <w:rFonts w:hAnsi="Calibri" w:cs="Calibri"/>
          <w:sz w:val="22"/>
          <w:szCs w:val="22"/>
          <w:lang w:val="en-US"/>
        </w:rPr>
        <w:t xml:space="preserve">Nota 1 </w:t>
      </w:r>
      <w:r w:rsidRPr="00353AB6">
        <w:rPr>
          <w:rFonts w:hAnsi="Calibri"/>
          <w:sz w:val="22"/>
          <w:szCs w:val="22"/>
          <w:lang w:val="en-US"/>
        </w:rPr>
        <w:t>art 140 inc b).</w:t>
      </w:r>
    </w:p>
  </w:footnote>
  <w:footnote w:id="108">
    <w:p w:rsidR="00D529C5" w:rsidRDefault="00D529C5" w:rsidP="008C215A">
      <w:pPr>
        <w:pStyle w:val="FootnoteText"/>
        <w:jc w:val="both"/>
      </w:pPr>
      <w:r w:rsidRPr="004D2A57">
        <w:rPr>
          <w:rStyle w:val="FootnoteReference"/>
          <w:rFonts w:hAnsi="Calibri"/>
          <w:sz w:val="22"/>
          <w:szCs w:val="22"/>
        </w:rPr>
        <w:footnoteRef/>
      </w:r>
      <w:r w:rsidRPr="00353AB6">
        <w:rPr>
          <w:rFonts w:hAnsi="Calibri"/>
          <w:sz w:val="22"/>
          <w:szCs w:val="22"/>
          <w:lang w:val="en-US"/>
        </w:rPr>
        <w:t xml:space="preserve"> </w:t>
      </w:r>
      <w:r w:rsidRPr="00353AB6">
        <w:rPr>
          <w:rFonts w:hAnsi="Calibri" w:cs="Calibri"/>
          <w:sz w:val="22"/>
          <w:szCs w:val="22"/>
          <w:lang w:val="en-US"/>
        </w:rPr>
        <w:t xml:space="preserve">Ob. cit. Nota 103 </w:t>
      </w:r>
      <w:r w:rsidRPr="00353AB6">
        <w:rPr>
          <w:rFonts w:hAnsi="Calibri"/>
          <w:sz w:val="22"/>
          <w:szCs w:val="22"/>
          <w:lang w:val="en-US"/>
        </w:rPr>
        <w:t>pág. 167.</w:t>
      </w:r>
    </w:p>
  </w:footnote>
  <w:footnote w:id="109">
    <w:p w:rsidR="00D529C5" w:rsidRDefault="00D529C5" w:rsidP="008C215A">
      <w:pPr>
        <w:pStyle w:val="FootnoteText"/>
        <w:jc w:val="both"/>
      </w:pPr>
      <w:r w:rsidRPr="004D2A57">
        <w:rPr>
          <w:rStyle w:val="FootnoteReference"/>
          <w:rFonts w:hAnsi="Calibri"/>
          <w:sz w:val="22"/>
          <w:szCs w:val="22"/>
        </w:rPr>
        <w:footnoteRef/>
      </w:r>
      <w:r w:rsidRPr="00353AB6">
        <w:rPr>
          <w:rFonts w:hAnsi="Calibri"/>
          <w:sz w:val="22"/>
          <w:szCs w:val="22"/>
          <w:lang w:val="en-US"/>
        </w:rPr>
        <w:t xml:space="preserve"> </w:t>
      </w:r>
      <w:r w:rsidRPr="00353AB6">
        <w:rPr>
          <w:rFonts w:hAnsi="Calibri" w:cs="Calibri"/>
          <w:sz w:val="22"/>
          <w:szCs w:val="22"/>
          <w:lang w:val="en-US"/>
        </w:rPr>
        <w:t xml:space="preserve">Ob. cit. Nota 103 </w:t>
      </w:r>
      <w:r w:rsidRPr="00353AB6">
        <w:rPr>
          <w:rFonts w:hAnsi="Calibri"/>
          <w:sz w:val="22"/>
          <w:szCs w:val="22"/>
          <w:lang w:val="en-US"/>
        </w:rPr>
        <w:t>pág. 234.</w:t>
      </w:r>
    </w:p>
  </w:footnote>
  <w:footnote w:id="110">
    <w:p w:rsidR="00D529C5" w:rsidRDefault="00D529C5" w:rsidP="008C215A">
      <w:pPr>
        <w:pStyle w:val="FootnoteText"/>
        <w:jc w:val="both"/>
      </w:pPr>
      <w:r w:rsidRPr="004D2A57">
        <w:rPr>
          <w:rStyle w:val="FootnoteReference"/>
          <w:rFonts w:hAnsi="Calibri"/>
          <w:sz w:val="22"/>
          <w:szCs w:val="22"/>
        </w:rPr>
        <w:footnoteRef/>
      </w:r>
      <w:r w:rsidRPr="00353AB6">
        <w:rPr>
          <w:rFonts w:hAnsi="Calibri"/>
          <w:sz w:val="22"/>
          <w:szCs w:val="22"/>
          <w:lang w:val="en-US"/>
        </w:rPr>
        <w:t xml:space="preserve"> </w:t>
      </w:r>
      <w:r w:rsidRPr="00353AB6">
        <w:rPr>
          <w:rFonts w:hAnsi="Calibri" w:cs="Calibri"/>
          <w:sz w:val="22"/>
          <w:szCs w:val="22"/>
          <w:lang w:val="en-US"/>
        </w:rPr>
        <w:t>Ob. cit. Nota 103</w:t>
      </w:r>
      <w:r w:rsidRPr="00353AB6">
        <w:rPr>
          <w:rFonts w:hAnsi="Calibri"/>
          <w:sz w:val="22"/>
          <w:szCs w:val="22"/>
          <w:lang w:val="en-US"/>
        </w:rPr>
        <w:t xml:space="preserve"> pág 167.</w:t>
      </w:r>
    </w:p>
  </w:footnote>
  <w:footnote w:id="111">
    <w:p w:rsidR="00D529C5" w:rsidRDefault="00D529C5">
      <w:pPr>
        <w:pStyle w:val="FootnoteText"/>
      </w:pPr>
      <w:r>
        <w:rPr>
          <w:rStyle w:val="FootnoteReference"/>
        </w:rPr>
        <w:footnoteRef/>
      </w:r>
      <w:r w:rsidRPr="00353AB6">
        <w:rPr>
          <w:lang w:val="en-US"/>
        </w:rPr>
        <w:t xml:space="preserve"> </w:t>
      </w:r>
      <w:r w:rsidRPr="00353AB6">
        <w:rPr>
          <w:rFonts w:hAnsi="Calibri" w:cs="Calibri"/>
          <w:sz w:val="22"/>
          <w:szCs w:val="22"/>
          <w:lang w:val="en-US"/>
        </w:rPr>
        <w:t xml:space="preserve">Ob. cit. Nota 1 </w:t>
      </w:r>
      <w:r w:rsidRPr="00353AB6">
        <w:rPr>
          <w:rFonts w:hAnsi="Calibri"/>
          <w:sz w:val="22"/>
          <w:szCs w:val="22"/>
          <w:lang w:val="en-US"/>
        </w:rPr>
        <w:t>art 140 inc b) pár 2.</w:t>
      </w:r>
    </w:p>
  </w:footnote>
  <w:footnote w:id="112">
    <w:p w:rsidR="00D529C5" w:rsidRPr="00353AB6" w:rsidRDefault="00D529C5" w:rsidP="006D121E">
      <w:pPr>
        <w:pStyle w:val="FootnoteText"/>
        <w:jc w:val="both"/>
        <w:rPr>
          <w:sz w:val="22"/>
          <w:szCs w:val="22"/>
          <w:lang w:val="en-US"/>
        </w:rPr>
      </w:pPr>
      <w:r w:rsidRPr="006D121E">
        <w:rPr>
          <w:rStyle w:val="FootnoteReference"/>
          <w:sz w:val="22"/>
          <w:szCs w:val="22"/>
        </w:rPr>
        <w:footnoteRef/>
      </w:r>
      <w:r w:rsidRPr="00353AB6">
        <w:rPr>
          <w:sz w:val="22"/>
          <w:szCs w:val="22"/>
          <w:lang w:val="en-US"/>
        </w:rPr>
        <w:t xml:space="preserve"> </w:t>
      </w:r>
      <w:hyperlink r:id="rId18" w:anchor="d.en.345426" w:history="1">
        <w:r w:rsidRPr="00353AB6">
          <w:rPr>
            <w:rStyle w:val="Hyperlink"/>
            <w:sz w:val="22"/>
            <w:szCs w:val="22"/>
            <w:lang w:val="en-US"/>
          </w:rPr>
          <w:t>http://www.oecd.org/tax/automatic-exchange/international-framework-for-the-crs/exchange-relationships/#d.en.345426</w:t>
        </w:r>
      </w:hyperlink>
    </w:p>
    <w:p w:rsidR="00D529C5" w:rsidRDefault="00D529C5" w:rsidP="006D121E">
      <w:pPr>
        <w:pStyle w:val="FootnoteText"/>
        <w:jc w:val="both"/>
      </w:pPr>
    </w:p>
  </w:footnote>
  <w:footnote w:id="113">
    <w:p w:rsidR="00D529C5" w:rsidRPr="006D121E" w:rsidRDefault="00D529C5" w:rsidP="006D121E">
      <w:pPr>
        <w:spacing w:after="0" w:line="240" w:lineRule="auto"/>
        <w:jc w:val="both"/>
        <w:rPr>
          <w:rFonts w:hAnsi="Calibri"/>
          <w:lang w:val="en-US"/>
        </w:rPr>
      </w:pPr>
      <w:r w:rsidRPr="006D121E">
        <w:rPr>
          <w:rStyle w:val="FootnoteReference"/>
          <w:rFonts w:hAnsi="Calibri"/>
        </w:rPr>
        <w:footnoteRef/>
      </w:r>
      <w:r w:rsidRPr="006D121E">
        <w:rPr>
          <w:rFonts w:hAnsi="Calibri"/>
          <w:lang w:val="en-US"/>
        </w:rPr>
        <w:t xml:space="preserve"> </w:t>
      </w:r>
      <w:r>
        <w:rPr>
          <w:rFonts w:hAnsi="Calibri"/>
          <w:lang w:val="en-US"/>
        </w:rPr>
        <w:t>Questions an</w:t>
      </w:r>
      <w:r w:rsidRPr="006D121E">
        <w:rPr>
          <w:rFonts w:hAnsi="Calibri"/>
          <w:lang w:val="en-US"/>
        </w:rPr>
        <w:t xml:space="preserve">d Answers </w:t>
      </w:r>
      <w:r>
        <w:rPr>
          <w:rFonts w:hAnsi="Calibri"/>
          <w:lang w:val="en-US"/>
        </w:rPr>
        <w:t>o</w:t>
      </w:r>
      <w:r w:rsidRPr="006D121E">
        <w:rPr>
          <w:rFonts w:hAnsi="Calibri"/>
          <w:lang w:val="en-US"/>
        </w:rPr>
        <w:t xml:space="preserve">n International Exchange Relationships </w:t>
      </w:r>
      <w:r>
        <w:rPr>
          <w:rFonts w:hAnsi="Calibri"/>
          <w:lang w:val="en-US"/>
        </w:rPr>
        <w:t>f</w:t>
      </w:r>
      <w:r w:rsidRPr="006D121E">
        <w:rPr>
          <w:rFonts w:hAnsi="Calibri"/>
          <w:lang w:val="en-US"/>
        </w:rPr>
        <w:t>or CRS Information [en línea]</w:t>
      </w:r>
    </w:p>
    <w:p w:rsidR="00D529C5" w:rsidRDefault="00D529C5" w:rsidP="005C172C">
      <w:pPr>
        <w:spacing w:after="0" w:line="240" w:lineRule="auto"/>
        <w:jc w:val="both"/>
      </w:pPr>
      <w:hyperlink r:id="rId19" w:history="1">
        <w:r w:rsidRPr="006D121E">
          <w:rPr>
            <w:rStyle w:val="Hyperlink"/>
            <w:rFonts w:hAnsi="Calibri"/>
            <w:lang w:val="en-US"/>
          </w:rPr>
          <w:t>http://www.oecd.org/tax/automatic-exchange/international-framework-for-the-crs/exchange-relationships/Questions-and-answers-international-exchange-relationships-crs-information.pdf</w:t>
        </w:r>
      </w:hyperlink>
      <w:r w:rsidRPr="006D121E">
        <w:rPr>
          <w:rFonts w:hAnsi="Calibri"/>
          <w:lang w:val="en-US"/>
        </w:rPr>
        <w:t xml:space="preserve"> </w:t>
      </w:r>
    </w:p>
  </w:footnote>
  <w:footnote w:id="114">
    <w:p w:rsidR="00D529C5" w:rsidRPr="00E97092" w:rsidRDefault="00D529C5" w:rsidP="00E97092">
      <w:pPr>
        <w:pStyle w:val="FootnoteText"/>
        <w:jc w:val="both"/>
        <w:rPr>
          <w:rFonts w:hAnsi="Calibri" w:cs="Calibri"/>
          <w:sz w:val="22"/>
          <w:szCs w:val="22"/>
          <w:lang w:val="en-US"/>
        </w:rPr>
      </w:pPr>
      <w:r w:rsidRPr="00E97092">
        <w:rPr>
          <w:rStyle w:val="FootnoteReference"/>
          <w:rFonts w:hAnsi="Calibri" w:cs="Calibri"/>
          <w:sz w:val="22"/>
          <w:szCs w:val="22"/>
        </w:rPr>
        <w:footnoteRef/>
      </w:r>
      <w:r w:rsidRPr="00E97092">
        <w:rPr>
          <w:rFonts w:hAnsi="Calibri" w:cs="Calibri"/>
          <w:sz w:val="22"/>
          <w:szCs w:val="22"/>
          <w:lang w:val="en-US"/>
        </w:rPr>
        <w:t xml:space="preserve"> Agreement Between the Government </w:t>
      </w:r>
      <w:r>
        <w:rPr>
          <w:rFonts w:hAnsi="Calibri" w:cs="Calibri"/>
          <w:sz w:val="22"/>
          <w:szCs w:val="22"/>
          <w:lang w:val="en-US"/>
        </w:rPr>
        <w:t>of t</w:t>
      </w:r>
      <w:r w:rsidRPr="00E97092">
        <w:rPr>
          <w:rFonts w:hAnsi="Calibri" w:cs="Calibri"/>
          <w:sz w:val="22"/>
          <w:szCs w:val="22"/>
          <w:lang w:val="en-US"/>
        </w:rPr>
        <w:t xml:space="preserve">he Argentine Republic </w:t>
      </w:r>
      <w:r>
        <w:rPr>
          <w:rFonts w:hAnsi="Calibri" w:cs="Calibri"/>
          <w:sz w:val="22"/>
          <w:szCs w:val="22"/>
          <w:lang w:val="en-US"/>
        </w:rPr>
        <w:t>a</w:t>
      </w:r>
      <w:r w:rsidRPr="00E97092">
        <w:rPr>
          <w:rFonts w:hAnsi="Calibri" w:cs="Calibri"/>
          <w:sz w:val="22"/>
          <w:szCs w:val="22"/>
          <w:lang w:val="en-US"/>
        </w:rPr>
        <w:t>n</w:t>
      </w:r>
      <w:r>
        <w:rPr>
          <w:rFonts w:hAnsi="Calibri" w:cs="Calibri"/>
          <w:sz w:val="22"/>
          <w:szCs w:val="22"/>
          <w:lang w:val="en-US"/>
        </w:rPr>
        <w:t>d</w:t>
      </w:r>
      <w:r w:rsidRPr="00E97092">
        <w:rPr>
          <w:rFonts w:hAnsi="Calibri" w:cs="Calibri"/>
          <w:sz w:val="22"/>
          <w:szCs w:val="22"/>
          <w:lang w:val="en-US"/>
        </w:rPr>
        <w:t xml:space="preserve"> </w:t>
      </w:r>
      <w:r>
        <w:rPr>
          <w:rFonts w:hAnsi="Calibri" w:cs="Calibri"/>
          <w:sz w:val="22"/>
          <w:szCs w:val="22"/>
          <w:lang w:val="en-US"/>
        </w:rPr>
        <w:t>t</w:t>
      </w:r>
      <w:r w:rsidRPr="00E97092">
        <w:rPr>
          <w:rFonts w:hAnsi="Calibri" w:cs="Calibri"/>
          <w:sz w:val="22"/>
          <w:szCs w:val="22"/>
          <w:lang w:val="en-US"/>
        </w:rPr>
        <w:t xml:space="preserve">he Government </w:t>
      </w:r>
      <w:r>
        <w:rPr>
          <w:rFonts w:hAnsi="Calibri" w:cs="Calibri"/>
          <w:sz w:val="22"/>
          <w:szCs w:val="22"/>
          <w:lang w:val="en-US"/>
        </w:rPr>
        <w:t>o</w:t>
      </w:r>
      <w:r w:rsidRPr="00E97092">
        <w:rPr>
          <w:rFonts w:hAnsi="Calibri" w:cs="Calibri"/>
          <w:sz w:val="22"/>
          <w:szCs w:val="22"/>
          <w:lang w:val="en-US"/>
        </w:rPr>
        <w:t xml:space="preserve">f </w:t>
      </w:r>
      <w:r>
        <w:rPr>
          <w:rFonts w:hAnsi="Calibri" w:cs="Calibri"/>
          <w:sz w:val="22"/>
          <w:szCs w:val="22"/>
          <w:lang w:val="en-US"/>
        </w:rPr>
        <w:t>t</w:t>
      </w:r>
      <w:r w:rsidRPr="00E97092">
        <w:rPr>
          <w:rFonts w:hAnsi="Calibri" w:cs="Calibri"/>
          <w:sz w:val="22"/>
          <w:szCs w:val="22"/>
          <w:lang w:val="en-US"/>
        </w:rPr>
        <w:t xml:space="preserve">he United States </w:t>
      </w:r>
      <w:r>
        <w:rPr>
          <w:rFonts w:hAnsi="Calibri" w:cs="Calibri"/>
          <w:sz w:val="22"/>
          <w:szCs w:val="22"/>
          <w:lang w:val="en-US"/>
        </w:rPr>
        <w:t>o</w:t>
      </w:r>
      <w:r w:rsidRPr="00E97092">
        <w:rPr>
          <w:rFonts w:hAnsi="Calibri" w:cs="Calibri"/>
          <w:sz w:val="22"/>
          <w:szCs w:val="22"/>
          <w:lang w:val="en-US"/>
        </w:rPr>
        <w:t>f America</w:t>
      </w:r>
      <w:r>
        <w:rPr>
          <w:rFonts w:hAnsi="Calibri" w:cs="Calibri"/>
          <w:sz w:val="22"/>
          <w:szCs w:val="22"/>
          <w:lang w:val="en-US"/>
        </w:rPr>
        <w:t xml:space="preserve"> f</w:t>
      </w:r>
      <w:r w:rsidRPr="00E97092">
        <w:rPr>
          <w:rFonts w:hAnsi="Calibri" w:cs="Calibri"/>
          <w:sz w:val="22"/>
          <w:szCs w:val="22"/>
          <w:lang w:val="en-US"/>
        </w:rPr>
        <w:t xml:space="preserve">or </w:t>
      </w:r>
      <w:r>
        <w:rPr>
          <w:rFonts w:hAnsi="Calibri" w:cs="Calibri"/>
          <w:sz w:val="22"/>
          <w:szCs w:val="22"/>
          <w:lang w:val="en-US"/>
        </w:rPr>
        <w:t>t</w:t>
      </w:r>
      <w:r w:rsidRPr="00E97092">
        <w:rPr>
          <w:rFonts w:hAnsi="Calibri" w:cs="Calibri"/>
          <w:sz w:val="22"/>
          <w:szCs w:val="22"/>
          <w:lang w:val="en-US"/>
        </w:rPr>
        <w:t xml:space="preserve">he Exchange </w:t>
      </w:r>
      <w:r>
        <w:rPr>
          <w:rFonts w:hAnsi="Calibri" w:cs="Calibri"/>
          <w:sz w:val="22"/>
          <w:szCs w:val="22"/>
          <w:lang w:val="en-US"/>
        </w:rPr>
        <w:t>o</w:t>
      </w:r>
      <w:r w:rsidRPr="00E97092">
        <w:rPr>
          <w:rFonts w:hAnsi="Calibri" w:cs="Calibri"/>
          <w:sz w:val="22"/>
          <w:szCs w:val="22"/>
          <w:lang w:val="en-US"/>
        </w:rPr>
        <w:t xml:space="preserve">f Information Relating </w:t>
      </w:r>
      <w:r>
        <w:rPr>
          <w:rFonts w:hAnsi="Calibri" w:cs="Calibri"/>
          <w:sz w:val="22"/>
          <w:szCs w:val="22"/>
          <w:lang w:val="en-US"/>
        </w:rPr>
        <w:t>t</w:t>
      </w:r>
      <w:r w:rsidRPr="00E97092">
        <w:rPr>
          <w:rFonts w:hAnsi="Calibri" w:cs="Calibri"/>
          <w:sz w:val="22"/>
          <w:szCs w:val="22"/>
          <w:lang w:val="en-US"/>
        </w:rPr>
        <w:t>o T</w:t>
      </w:r>
      <w:r>
        <w:rPr>
          <w:rFonts w:hAnsi="Calibri" w:cs="Calibri"/>
          <w:sz w:val="22"/>
          <w:szCs w:val="22"/>
          <w:lang w:val="en-US"/>
        </w:rPr>
        <w:t>a</w:t>
      </w:r>
      <w:r w:rsidRPr="00E97092">
        <w:rPr>
          <w:rFonts w:hAnsi="Calibri" w:cs="Calibri"/>
          <w:sz w:val="22"/>
          <w:szCs w:val="22"/>
          <w:lang w:val="en-US"/>
        </w:rPr>
        <w:t>xes [en línea]</w:t>
      </w:r>
      <w:r>
        <w:rPr>
          <w:rFonts w:hAnsi="Calibri" w:cs="Calibri"/>
          <w:sz w:val="22"/>
          <w:szCs w:val="22"/>
          <w:lang w:val="en-US"/>
        </w:rPr>
        <w:t xml:space="preserve"> </w:t>
      </w:r>
    </w:p>
    <w:p w:rsidR="00D529C5" w:rsidRDefault="00D529C5" w:rsidP="00E97092">
      <w:pPr>
        <w:pStyle w:val="FootnoteText"/>
        <w:jc w:val="both"/>
      </w:pPr>
      <w:hyperlink r:id="rId20" w:history="1">
        <w:r w:rsidRPr="00E97092">
          <w:rPr>
            <w:rStyle w:val="Hyperlink"/>
            <w:rFonts w:hAnsi="Calibri" w:cs="Calibri"/>
            <w:sz w:val="22"/>
            <w:szCs w:val="22"/>
            <w:lang w:val="en-US"/>
          </w:rPr>
          <w:t>http://www.afip.gob.ar/institucional/Documentos/acuerdos/Acuerdo%20con%20Estados%20Unidos.pdf</w:t>
        </w:r>
      </w:hyperlink>
    </w:p>
  </w:footnote>
  <w:footnote w:id="115">
    <w:p w:rsidR="00D529C5" w:rsidRDefault="00D529C5" w:rsidP="00E97092">
      <w:pPr>
        <w:spacing w:after="0" w:line="240" w:lineRule="auto"/>
        <w:jc w:val="both"/>
      </w:pPr>
      <w:r w:rsidRPr="00E97092">
        <w:rPr>
          <w:rStyle w:val="FootnoteReference"/>
          <w:rFonts w:hAnsi="Calibri" w:cs="Calibri"/>
        </w:rPr>
        <w:footnoteRef/>
      </w:r>
      <w:r w:rsidRPr="00E97092">
        <w:rPr>
          <w:rFonts w:hAnsi="Calibri" w:cs="Calibri"/>
        </w:rPr>
        <w:t xml:space="preserve"> Diario La Nación </w:t>
      </w:r>
      <w:r w:rsidRPr="0045338A">
        <w:rPr>
          <w:rFonts w:hAnsi="Calibri" w:cs="Calibri"/>
          <w:i/>
        </w:rPr>
        <w:t>“</w:t>
      </w:r>
      <w:r w:rsidRPr="0045338A">
        <w:rPr>
          <w:rFonts w:hAnsi="Calibri" w:cs="Calibri"/>
          <w:bCs/>
          <w:i/>
        </w:rPr>
        <w:t>EE.UU. confirma el intercambio de información”</w:t>
      </w:r>
      <w:r w:rsidRPr="00E97092">
        <w:rPr>
          <w:rFonts w:hAnsi="Calibri" w:cs="Calibri"/>
          <w:bCs/>
        </w:rPr>
        <w:t xml:space="preserve">, </w:t>
      </w:r>
      <w:r w:rsidRPr="00E97092">
        <w:rPr>
          <w:rFonts w:hAnsi="Calibri" w:cs="Calibri"/>
          <w:caps/>
          <w:shd w:val="clear" w:color="auto" w:fill="FFFFFF"/>
        </w:rPr>
        <w:t xml:space="preserve">13/03/2017, </w:t>
      </w:r>
      <w:r w:rsidRPr="00E97092">
        <w:rPr>
          <w:rFonts w:hAnsi="Calibri" w:cs="Calibri"/>
        </w:rPr>
        <w:t xml:space="preserve">[en línea] </w:t>
      </w:r>
      <w:hyperlink r:id="rId21" w:history="1">
        <w:r w:rsidRPr="00E97092">
          <w:rPr>
            <w:rStyle w:val="Hyperlink"/>
            <w:rFonts w:hAnsi="Calibri" w:cs="Calibri"/>
          </w:rPr>
          <w:t>http://www.lanacion.com.ar/1992570-eeuu-confirma-el-intercambio-de-informacion</w:t>
        </w:r>
      </w:hyperlink>
    </w:p>
  </w:footnote>
  <w:footnote w:id="116">
    <w:p w:rsidR="00D529C5" w:rsidRDefault="00D529C5" w:rsidP="00E97092">
      <w:pPr>
        <w:pStyle w:val="FootnoteText"/>
        <w:jc w:val="both"/>
      </w:pPr>
      <w:r w:rsidRPr="00E97092">
        <w:rPr>
          <w:rStyle w:val="FootnoteReference"/>
          <w:rFonts w:hAnsi="Calibri" w:cs="Calibri"/>
          <w:sz w:val="22"/>
          <w:szCs w:val="22"/>
        </w:rPr>
        <w:footnoteRef/>
      </w:r>
      <w:r w:rsidRPr="00E97092">
        <w:rPr>
          <w:rFonts w:hAnsi="Calibri" w:cs="Calibri"/>
          <w:sz w:val="22"/>
          <w:szCs w:val="22"/>
          <w:lang w:val="en-US"/>
        </w:rPr>
        <w:t xml:space="preserve"> Brief on the State of Play on the international tax transparency standards June 2017 [en línea] </w:t>
      </w:r>
      <w:hyperlink r:id="rId22" w:history="1">
        <w:r w:rsidRPr="00E97092">
          <w:rPr>
            <w:rStyle w:val="Hyperlink"/>
            <w:rFonts w:hAnsi="Calibri" w:cs="Calibri"/>
            <w:sz w:val="22"/>
            <w:szCs w:val="22"/>
            <w:lang w:val="en-US"/>
          </w:rPr>
          <w:t>http://www.oecd.org/tax/transparency/brief-and-FAQ-on-progress-on-tax-transparency.pdf</w:t>
        </w:r>
      </w:hyperlink>
    </w:p>
  </w:footnote>
  <w:footnote w:id="117">
    <w:p w:rsidR="00D529C5" w:rsidRDefault="00D529C5" w:rsidP="007149D3">
      <w:pPr>
        <w:pStyle w:val="FootnoteText"/>
        <w:jc w:val="both"/>
      </w:pPr>
      <w:r w:rsidRPr="007149D3">
        <w:rPr>
          <w:rStyle w:val="FootnoteReference"/>
          <w:rFonts w:hAnsi="Calibri" w:cs="Calibri"/>
          <w:sz w:val="22"/>
          <w:szCs w:val="22"/>
        </w:rPr>
        <w:footnoteRef/>
      </w:r>
      <w:r w:rsidRPr="007149D3">
        <w:rPr>
          <w:rFonts w:hAnsi="Calibri" w:cs="Calibri"/>
          <w:sz w:val="22"/>
          <w:szCs w:val="22"/>
          <w:lang w:val="en-US"/>
        </w:rPr>
        <w:t xml:space="preserve"> Department of the Treasury, Internal Revenue Service, </w:t>
      </w:r>
      <w:r w:rsidRPr="007149D3">
        <w:rPr>
          <w:rFonts w:hAnsi="Calibri" w:cs="Calibri"/>
          <w:i/>
          <w:sz w:val="22"/>
          <w:szCs w:val="22"/>
          <w:lang w:val="en-US"/>
        </w:rPr>
        <w:t>“Instructions forForm W-8BEN (Rev. July 2017) Certificate of Foreign Status of Beneficial Owner for United States Tax Withholding and Reporting (Individuals)”</w:t>
      </w:r>
      <w:r w:rsidRPr="007149D3">
        <w:rPr>
          <w:rFonts w:hAnsi="Calibri" w:cs="Calibri"/>
          <w:sz w:val="22"/>
          <w:szCs w:val="22"/>
          <w:lang w:val="en-US"/>
        </w:rPr>
        <w:t xml:space="preserve"> [en línea] </w:t>
      </w:r>
      <w:hyperlink r:id="rId23" w:history="1">
        <w:r w:rsidRPr="007149D3">
          <w:rPr>
            <w:rStyle w:val="Hyperlink"/>
            <w:rFonts w:hAnsi="Calibri" w:cs="Calibri"/>
            <w:sz w:val="22"/>
            <w:szCs w:val="22"/>
            <w:lang w:val="en-US"/>
          </w:rPr>
          <w:t>https://www.irs.gov/pub/irs-pdf/iw8ben.pdf</w:t>
        </w:r>
      </w:hyperlink>
    </w:p>
  </w:footnote>
  <w:footnote w:id="118">
    <w:p w:rsidR="00D529C5" w:rsidRDefault="00D529C5" w:rsidP="007149D3">
      <w:pPr>
        <w:pStyle w:val="HTMLPreformatted"/>
        <w:shd w:val="clear" w:color="auto" w:fill="FFFFFF"/>
        <w:jc w:val="both"/>
      </w:pPr>
      <w:r w:rsidRPr="007149D3">
        <w:rPr>
          <w:rStyle w:val="FootnoteReference"/>
          <w:rFonts w:ascii="Calibri" w:hAnsi="Calibri" w:cs="Calibri"/>
          <w:sz w:val="22"/>
          <w:szCs w:val="22"/>
        </w:rPr>
        <w:footnoteRef/>
      </w:r>
      <w:r w:rsidRPr="007149D3">
        <w:rPr>
          <w:rFonts w:ascii="Calibri" w:hAnsi="Calibri" w:cs="Calibri"/>
          <w:sz w:val="22"/>
          <w:szCs w:val="22"/>
        </w:rPr>
        <w:t xml:space="preserve"> Ley sobre Impuesto a la Renta con las modificaciones introducidas por la Ley N° 20.899, artículo 41 H, pár 1. </w:t>
      </w:r>
      <w:bookmarkStart w:id="69" w:name="_Hlk491218450"/>
      <w:r w:rsidRPr="007149D3">
        <w:rPr>
          <w:rFonts w:ascii="Calibri" w:hAnsi="Calibri" w:cs="Calibri"/>
          <w:sz w:val="22"/>
          <w:szCs w:val="22"/>
        </w:rPr>
        <w:t>[en línea]</w:t>
      </w:r>
      <w:bookmarkEnd w:id="69"/>
      <w:r w:rsidRPr="007149D3">
        <w:rPr>
          <w:rFonts w:ascii="Calibri" w:hAnsi="Calibri" w:cs="Calibri"/>
          <w:sz w:val="22"/>
          <w:szCs w:val="22"/>
        </w:rPr>
        <w:t xml:space="preserve"> </w:t>
      </w:r>
      <w:hyperlink r:id="rId24" w:history="1">
        <w:r w:rsidRPr="007149D3">
          <w:rPr>
            <w:rStyle w:val="Hyperlink"/>
            <w:rFonts w:ascii="Calibri" w:hAnsi="Calibri" w:cs="Calibri"/>
            <w:sz w:val="22"/>
            <w:szCs w:val="22"/>
          </w:rPr>
          <w:t>https://www.leychile.cl/Navegar?idNorma=6368</w:t>
        </w:r>
      </w:hyperlink>
    </w:p>
  </w:footnote>
  <w:footnote w:id="119">
    <w:p w:rsidR="00D529C5" w:rsidRDefault="00D529C5" w:rsidP="00EA2EEB">
      <w:pPr>
        <w:pStyle w:val="HTMLPreformatted"/>
        <w:shd w:val="clear" w:color="auto" w:fill="FFFFFF"/>
        <w:jc w:val="both"/>
      </w:pPr>
      <w:r w:rsidRPr="004803B4">
        <w:rPr>
          <w:rStyle w:val="FootnoteReference"/>
          <w:rFonts w:ascii="Calibri" w:hAnsi="Calibri" w:cs="Calibri"/>
          <w:sz w:val="22"/>
          <w:szCs w:val="22"/>
        </w:rPr>
        <w:footnoteRef/>
      </w:r>
      <w:r w:rsidRPr="004803B4">
        <w:rPr>
          <w:rFonts w:ascii="Calibri" w:hAnsi="Calibri" w:cs="Calibri"/>
          <w:sz w:val="22"/>
          <w:szCs w:val="22"/>
        </w:rPr>
        <w:t xml:space="preserve"> Ob. cit. Nota 117 artículo 41 H, pár </w:t>
      </w:r>
      <w:r>
        <w:rPr>
          <w:rFonts w:ascii="Calibri" w:hAnsi="Calibri" w:cs="Calibri"/>
          <w:sz w:val="22"/>
          <w:szCs w:val="22"/>
        </w:rPr>
        <w:t>2.</w:t>
      </w:r>
    </w:p>
  </w:footnote>
  <w:footnote w:id="120">
    <w:p w:rsidR="00D529C5" w:rsidRDefault="00D529C5" w:rsidP="00EA2EEB">
      <w:pPr>
        <w:pStyle w:val="HTMLPreformatted"/>
        <w:shd w:val="clear" w:color="auto" w:fill="FFFFFF"/>
        <w:jc w:val="both"/>
      </w:pPr>
      <w:r w:rsidRPr="004803B4">
        <w:rPr>
          <w:rStyle w:val="FootnoteReference"/>
          <w:rFonts w:ascii="Calibri" w:hAnsi="Calibri" w:cs="Calibri"/>
          <w:sz w:val="22"/>
          <w:szCs w:val="22"/>
        </w:rPr>
        <w:footnoteRef/>
      </w:r>
      <w:r w:rsidRPr="004803B4">
        <w:rPr>
          <w:rFonts w:ascii="Calibri" w:hAnsi="Calibri" w:cs="Calibri"/>
          <w:sz w:val="22"/>
          <w:szCs w:val="22"/>
        </w:rPr>
        <w:t xml:space="preserve"> Ob. cit. Nota 117 artículo 41 H, pár 3.</w:t>
      </w:r>
    </w:p>
  </w:footnote>
  <w:footnote w:id="121">
    <w:p w:rsidR="00D529C5" w:rsidRPr="004803B4" w:rsidRDefault="00D529C5" w:rsidP="007149D3">
      <w:pPr>
        <w:spacing w:after="0" w:line="240" w:lineRule="auto"/>
        <w:jc w:val="both"/>
        <w:rPr>
          <w:rFonts w:hAnsi="Calibri" w:cs="Calibri"/>
        </w:rPr>
      </w:pPr>
      <w:r w:rsidRPr="004803B4">
        <w:rPr>
          <w:rStyle w:val="FootnoteReference"/>
          <w:rFonts w:hAnsi="Calibri" w:cs="Calibri"/>
        </w:rPr>
        <w:footnoteRef/>
      </w:r>
      <w:r w:rsidRPr="004803B4">
        <w:rPr>
          <w:rFonts w:hAnsi="Calibri" w:cs="Calibri"/>
        </w:rPr>
        <w:t xml:space="preserve"> Circular N° 34.- Departamento Emisor Impuestos Directos 1875 Sistema de Publicaciones Administrativas Fecha: 07/06/2016.- 07-2016 SN 17- 2016 ID, Apartado III.- Modificaciones al Artículo 41 H de la LIR. Requisitos para considerar que un territorio o jurisdicción tiene un régimen fiscal preferencial, </w:t>
      </w:r>
      <w:r w:rsidRPr="004803B4">
        <w:rPr>
          <w:rFonts w:hAnsi="Calibri" w:cs="Calibri"/>
          <w:color w:val="000000"/>
        </w:rPr>
        <w:t xml:space="preserve">2. Instrucciones sobre la materia, </w:t>
      </w:r>
      <w:r w:rsidRPr="004803B4">
        <w:rPr>
          <w:rFonts w:hAnsi="Calibri" w:cs="Calibri"/>
        </w:rPr>
        <w:t>2.1. Letra d) del artículo 41 H, pár. 1. [en línea]</w:t>
      </w:r>
    </w:p>
    <w:p w:rsidR="00D529C5" w:rsidRDefault="00D529C5" w:rsidP="007149D3">
      <w:pPr>
        <w:spacing w:after="0" w:line="240" w:lineRule="auto"/>
        <w:jc w:val="both"/>
      </w:pPr>
      <w:r w:rsidRPr="004803B4">
        <w:rPr>
          <w:rFonts w:hAnsi="Calibri" w:cs="Calibri"/>
        </w:rPr>
        <w:t xml:space="preserve"> </w:t>
      </w:r>
      <w:hyperlink r:id="rId25" w:history="1">
        <w:r w:rsidRPr="004803B4">
          <w:rPr>
            <w:rStyle w:val="Hyperlink"/>
            <w:rFonts w:hAnsi="Calibri" w:cs="Calibri"/>
          </w:rPr>
          <w:t>http://www.sii.cl/normativa_legislacion/circulares/2016/circu34.pdf</w:t>
        </w:r>
      </w:hyperlink>
    </w:p>
  </w:footnote>
  <w:footnote w:id="122">
    <w:p w:rsidR="00D529C5" w:rsidRDefault="00D529C5" w:rsidP="007149D3">
      <w:pPr>
        <w:pStyle w:val="FootnoteText"/>
        <w:jc w:val="both"/>
      </w:pPr>
      <w:r w:rsidRPr="007149D3">
        <w:rPr>
          <w:rStyle w:val="FootnoteReference"/>
          <w:rFonts w:hAnsi="Calibri" w:cs="Calibri"/>
          <w:sz w:val="22"/>
          <w:szCs w:val="22"/>
        </w:rPr>
        <w:footnoteRef/>
      </w:r>
      <w:r w:rsidRPr="007149D3">
        <w:rPr>
          <w:rFonts w:hAnsi="Calibri" w:cs="Calibri"/>
          <w:sz w:val="22"/>
          <w:szCs w:val="22"/>
          <w:lang w:val="en-US"/>
        </w:rPr>
        <w:t xml:space="preserve"> OECD’s Model Agreement on Exchange of Information on Tax Matters, por su mención en inglés.</w:t>
      </w:r>
    </w:p>
  </w:footnote>
  <w:footnote w:id="123">
    <w:p w:rsidR="00D529C5" w:rsidRDefault="00D529C5" w:rsidP="007149D3">
      <w:pPr>
        <w:spacing w:after="0" w:line="240" w:lineRule="auto"/>
        <w:jc w:val="both"/>
      </w:pPr>
      <w:r w:rsidRPr="007149D3">
        <w:rPr>
          <w:rStyle w:val="FootnoteReference"/>
          <w:rFonts w:hAnsi="Calibri" w:cs="Calibri"/>
        </w:rPr>
        <w:footnoteRef/>
      </w:r>
      <w:r w:rsidRPr="007149D3">
        <w:rPr>
          <w:rFonts w:hAnsi="Calibri" w:cs="Calibri"/>
        </w:rPr>
        <w:t xml:space="preserve"> Model Tax Convention on Income and on Capital, por su mención en inglés.</w:t>
      </w:r>
    </w:p>
  </w:footnote>
  <w:footnote w:id="124">
    <w:p w:rsidR="00D529C5" w:rsidRPr="008D096D" w:rsidRDefault="00D529C5" w:rsidP="00077065">
      <w:pPr>
        <w:pStyle w:val="FootnoteText"/>
        <w:jc w:val="both"/>
        <w:rPr>
          <w:rFonts w:hAnsi="Calibri"/>
          <w:sz w:val="22"/>
          <w:szCs w:val="22"/>
        </w:rPr>
      </w:pPr>
      <w:r w:rsidRPr="008D096D">
        <w:rPr>
          <w:rStyle w:val="FootnoteReference"/>
          <w:rFonts w:hAnsi="Calibri"/>
          <w:sz w:val="22"/>
          <w:szCs w:val="22"/>
        </w:rPr>
        <w:footnoteRef/>
      </w:r>
      <w:r w:rsidRPr="008D096D">
        <w:rPr>
          <w:rFonts w:hAnsi="Calibri"/>
          <w:sz w:val="22"/>
          <w:szCs w:val="22"/>
        </w:rPr>
        <w:t xml:space="preserve"> El “Compliance rating” es de acceso público y se puede encontrar en el siguiente vínculo: </w:t>
      </w:r>
    </w:p>
    <w:p w:rsidR="00D529C5" w:rsidRDefault="00D529C5" w:rsidP="00077065">
      <w:pPr>
        <w:pStyle w:val="FootnoteText"/>
        <w:jc w:val="both"/>
      </w:pPr>
      <w:hyperlink r:id="rId26" w:history="1">
        <w:r w:rsidRPr="008D096D">
          <w:rPr>
            <w:rStyle w:val="Hyperlink"/>
            <w:rFonts w:hAnsi="Calibri"/>
            <w:sz w:val="22"/>
            <w:szCs w:val="22"/>
          </w:rPr>
          <w:t>https://www.oecd.org/tax/transparency/</w:t>
        </w:r>
      </w:hyperlink>
      <w:r w:rsidRPr="008D096D">
        <w:rPr>
          <w:rFonts w:hAnsi="Calibri"/>
          <w:sz w:val="22"/>
          <w:szCs w:val="22"/>
        </w:rPr>
        <w:t>.</w:t>
      </w:r>
    </w:p>
  </w:footnote>
  <w:footnote w:id="125">
    <w:p w:rsidR="00D529C5" w:rsidRDefault="00D529C5" w:rsidP="00EA2EEB">
      <w:pPr>
        <w:spacing w:after="0" w:line="240" w:lineRule="auto"/>
        <w:jc w:val="both"/>
      </w:pPr>
      <w:r>
        <w:rPr>
          <w:rStyle w:val="FootnoteReference"/>
        </w:rPr>
        <w:footnoteRef/>
      </w:r>
      <w:r>
        <w:t xml:space="preserve"> </w:t>
      </w:r>
      <w:r w:rsidRPr="004803B4">
        <w:rPr>
          <w:rFonts w:hAnsi="Calibri" w:cs="Calibri"/>
        </w:rPr>
        <w:t>Ob. cit. Nota 1</w:t>
      </w:r>
      <w:r>
        <w:rPr>
          <w:rFonts w:hAnsi="Calibri" w:cs="Calibri"/>
        </w:rPr>
        <w:t>20</w:t>
      </w:r>
      <w:r w:rsidRPr="004803B4">
        <w:rPr>
          <w:rFonts w:hAnsi="Calibri" w:cs="Calibri"/>
        </w:rPr>
        <w:t xml:space="preserve"> </w:t>
      </w:r>
      <w:r w:rsidRPr="008D096D">
        <w:rPr>
          <w:rFonts w:hAnsi="Calibri"/>
        </w:rPr>
        <w:t xml:space="preserve">pár. </w:t>
      </w:r>
      <w:r>
        <w:rPr>
          <w:rFonts w:hAnsi="Calibri"/>
        </w:rPr>
        <w:t>4</w:t>
      </w:r>
      <w:r w:rsidRPr="008D096D">
        <w:rPr>
          <w:rFonts w:hAnsi="Calibri"/>
        </w:rPr>
        <w:t>.</w:t>
      </w:r>
      <w:r w:rsidRPr="00CA3594">
        <w:rPr>
          <w:rFonts w:hAnsi="Calibri" w:cs="Calibri"/>
        </w:rPr>
        <w:t xml:space="preserve"> </w:t>
      </w:r>
    </w:p>
  </w:footnote>
  <w:footnote w:id="126">
    <w:p w:rsidR="00D529C5" w:rsidRDefault="00D529C5" w:rsidP="00077065">
      <w:pPr>
        <w:spacing w:after="0" w:line="240" w:lineRule="auto"/>
        <w:jc w:val="both"/>
      </w:pPr>
      <w:r w:rsidRPr="00F629E5">
        <w:rPr>
          <w:rStyle w:val="FootnoteReference"/>
          <w:rFonts w:hAnsi="Calibri"/>
        </w:rPr>
        <w:footnoteRef/>
      </w:r>
      <w:r w:rsidRPr="00F629E5">
        <w:rPr>
          <w:rFonts w:hAnsi="Calibri"/>
        </w:rPr>
        <w:t xml:space="preserve"> Una iniciativa que se comenzó </w:t>
      </w:r>
      <w:r>
        <w:rPr>
          <w:rFonts w:hAnsi="Calibri"/>
        </w:rPr>
        <w:t xml:space="preserve">en </w:t>
      </w:r>
      <w:r w:rsidRPr="00F629E5">
        <w:rPr>
          <w:rFonts w:hAnsi="Calibri"/>
        </w:rPr>
        <w:t>el 2013, impulsada por la OECD, el G20 y otros países, y que busca combatir la evasión y elusión tributaria internacional.</w:t>
      </w:r>
    </w:p>
  </w:footnote>
  <w:footnote w:id="127">
    <w:p w:rsidR="00D529C5" w:rsidRDefault="00D529C5" w:rsidP="00077065">
      <w:pPr>
        <w:spacing w:after="0" w:line="240" w:lineRule="auto"/>
        <w:jc w:val="both"/>
      </w:pPr>
      <w:r w:rsidRPr="00F629E5">
        <w:rPr>
          <w:rStyle w:val="FootnoteReference"/>
          <w:rFonts w:hAnsi="Calibri"/>
        </w:rPr>
        <w:footnoteRef/>
      </w:r>
      <w:r w:rsidRPr="00F629E5">
        <w:rPr>
          <w:rFonts w:hAnsi="Calibri"/>
        </w:rPr>
        <w:t xml:space="preserve"> La nómina actual se contiene en el Reporte Final publicado en el contexto de la Acción 5 del proyecto BEPS </w:t>
      </w:r>
      <w:r w:rsidRPr="00CA3594">
        <w:rPr>
          <w:rFonts w:hAnsi="Calibri"/>
          <w:i/>
        </w:rPr>
        <w:t>“Countering Harmful Tax Practices More Effectively, Taking into Account Transparency and Substance”</w:t>
      </w:r>
      <w:r w:rsidRPr="00F629E5">
        <w:rPr>
          <w:rFonts w:hAnsi="Calibri"/>
        </w:rPr>
        <w:t>, del año 2015.</w:t>
      </w:r>
    </w:p>
  </w:footnote>
  <w:footnote w:id="128">
    <w:p w:rsidR="00D529C5" w:rsidRDefault="00D529C5" w:rsidP="00EA2EEB">
      <w:pPr>
        <w:spacing w:after="0" w:line="240" w:lineRule="auto"/>
        <w:jc w:val="both"/>
      </w:pPr>
      <w:r w:rsidRPr="00F629E5">
        <w:rPr>
          <w:rStyle w:val="FootnoteReference"/>
          <w:rFonts w:hAnsi="Calibri"/>
        </w:rPr>
        <w:footnoteRef/>
      </w:r>
      <w:r w:rsidRPr="00F629E5">
        <w:rPr>
          <w:rFonts w:hAnsi="Calibri"/>
        </w:rPr>
        <w:t xml:space="preserve"> </w:t>
      </w:r>
      <w:r w:rsidRPr="004803B4">
        <w:rPr>
          <w:rFonts w:hAnsi="Calibri" w:cs="Calibri"/>
        </w:rPr>
        <w:t>Ob. cit. Nota 1</w:t>
      </w:r>
      <w:r>
        <w:rPr>
          <w:rFonts w:hAnsi="Calibri" w:cs="Calibri"/>
        </w:rPr>
        <w:t>20</w:t>
      </w:r>
      <w:r w:rsidRPr="00F629E5">
        <w:rPr>
          <w:rFonts w:hAnsi="Calibri"/>
        </w:rPr>
        <w:t xml:space="preserve">, pár. </w:t>
      </w:r>
      <w:r>
        <w:rPr>
          <w:rFonts w:hAnsi="Calibri"/>
        </w:rPr>
        <w:t>2</w:t>
      </w:r>
      <w:r w:rsidRPr="00F629E5">
        <w:rPr>
          <w:rFonts w:hAnsi="Calibri"/>
        </w:rPr>
        <w:t>.</w:t>
      </w:r>
    </w:p>
  </w:footnote>
  <w:footnote w:id="129">
    <w:p w:rsidR="00D529C5" w:rsidRDefault="00D529C5" w:rsidP="00EA2EEB">
      <w:pPr>
        <w:spacing w:after="0" w:line="240" w:lineRule="auto"/>
        <w:jc w:val="both"/>
      </w:pPr>
      <w:r w:rsidRPr="002E54B9">
        <w:rPr>
          <w:rStyle w:val="FootnoteReference"/>
          <w:rFonts w:hAnsi="Calibri"/>
        </w:rPr>
        <w:footnoteRef/>
      </w:r>
      <w:r w:rsidRPr="002E54B9">
        <w:rPr>
          <w:rFonts w:hAnsi="Calibri"/>
        </w:rPr>
        <w:t xml:space="preserve"> </w:t>
      </w:r>
      <w:r w:rsidRPr="004803B4">
        <w:rPr>
          <w:rFonts w:hAnsi="Calibri" w:cs="Calibri"/>
        </w:rPr>
        <w:t>Ob. cit. Nota 1</w:t>
      </w:r>
      <w:r>
        <w:rPr>
          <w:rFonts w:hAnsi="Calibri" w:cs="Calibri"/>
        </w:rPr>
        <w:t>2</w:t>
      </w:r>
      <w:r w:rsidRPr="004803B4">
        <w:rPr>
          <w:rFonts w:hAnsi="Calibri" w:cs="Calibri"/>
        </w:rPr>
        <w:t xml:space="preserve">7 </w:t>
      </w:r>
      <w:r w:rsidRPr="002E54B9">
        <w:rPr>
          <w:rFonts w:hAnsi="Calibri"/>
        </w:rPr>
        <w:t xml:space="preserve">pár. </w:t>
      </w:r>
      <w:r>
        <w:rPr>
          <w:rFonts w:hAnsi="Calibri"/>
        </w:rPr>
        <w:t>3</w:t>
      </w:r>
      <w:r w:rsidRPr="002E54B9">
        <w:rPr>
          <w:rFonts w:hAnsi="Calibri"/>
        </w:rPr>
        <w:t>.</w:t>
      </w:r>
    </w:p>
  </w:footnote>
  <w:footnote w:id="130">
    <w:p w:rsidR="00D529C5" w:rsidRPr="002E54B9" w:rsidRDefault="00D529C5" w:rsidP="002E54B9">
      <w:pPr>
        <w:pStyle w:val="FootnoteText"/>
        <w:jc w:val="both"/>
        <w:rPr>
          <w:rFonts w:hAnsi="Calibri" w:cs="Calibri"/>
          <w:sz w:val="22"/>
          <w:szCs w:val="22"/>
        </w:rPr>
      </w:pPr>
      <w:r w:rsidRPr="002E54B9">
        <w:rPr>
          <w:rStyle w:val="FootnoteReference"/>
          <w:rFonts w:hAnsi="Calibri" w:cs="Calibri"/>
          <w:sz w:val="22"/>
          <w:szCs w:val="22"/>
        </w:rPr>
        <w:footnoteRef/>
      </w:r>
      <w:r w:rsidRPr="002E54B9">
        <w:rPr>
          <w:rFonts w:hAnsi="Calibri" w:cs="Calibri"/>
          <w:sz w:val="22"/>
          <w:szCs w:val="22"/>
        </w:rPr>
        <w:t xml:space="preserve"> Estatuto Tributario Nacional con las modificaciones introducidas por la Ley N° 1819 de 2016 al art. 260-7. Jurisdicciones no cooperantes, de baja o nula imposición y regímenes tributarios preferenciales. [en línea]</w:t>
      </w:r>
    </w:p>
    <w:p w:rsidR="00D529C5" w:rsidRDefault="00D529C5" w:rsidP="002E54B9">
      <w:pPr>
        <w:pStyle w:val="FootnoteText"/>
        <w:jc w:val="both"/>
      </w:pPr>
      <w:hyperlink r:id="rId27" w:history="1">
        <w:r w:rsidRPr="002E54B9">
          <w:rPr>
            <w:rStyle w:val="Hyperlink"/>
            <w:rFonts w:hAnsi="Calibri" w:cs="Calibri"/>
            <w:sz w:val="22"/>
            <w:szCs w:val="22"/>
          </w:rPr>
          <w:t>http://www.accounter.co/normatividad/leyes/reforma-tributaria-ley-1819-de-2016.html</w:t>
        </w:r>
      </w:hyperlink>
    </w:p>
  </w:footnote>
  <w:footnote w:id="131">
    <w:p w:rsidR="00D529C5" w:rsidRDefault="00D529C5" w:rsidP="002E54B9">
      <w:pPr>
        <w:pStyle w:val="FootnoteText"/>
        <w:jc w:val="both"/>
      </w:pPr>
      <w:r w:rsidRPr="002E54B9">
        <w:rPr>
          <w:rStyle w:val="FootnoteReference"/>
          <w:rFonts w:hAnsi="Calibri" w:cs="Calibri"/>
          <w:sz w:val="22"/>
          <w:szCs w:val="22"/>
        </w:rPr>
        <w:footnoteRef/>
      </w:r>
      <w:r w:rsidRPr="00863100">
        <w:rPr>
          <w:rFonts w:hAnsi="Calibri" w:cs="Calibri"/>
          <w:sz w:val="22"/>
          <w:szCs w:val="22"/>
          <w:lang w:val="en-US"/>
        </w:rPr>
        <w:t xml:space="preserve"> Ob. cit. Nota 129 </w:t>
      </w:r>
      <w:r>
        <w:rPr>
          <w:rFonts w:hAnsi="Calibri" w:cs="Calibri"/>
          <w:sz w:val="22"/>
          <w:szCs w:val="22"/>
          <w:lang w:val="en-US"/>
        </w:rPr>
        <w:t>art. 260-7 pár 1 ap.1.</w:t>
      </w:r>
    </w:p>
  </w:footnote>
  <w:footnote w:id="132">
    <w:p w:rsidR="00D529C5" w:rsidRDefault="00D529C5" w:rsidP="002E54B9">
      <w:pPr>
        <w:pStyle w:val="FootnoteText"/>
        <w:jc w:val="both"/>
      </w:pPr>
      <w:r w:rsidRPr="002E54B9">
        <w:rPr>
          <w:rStyle w:val="FootnoteReference"/>
          <w:rFonts w:hAnsi="Calibri" w:cs="Calibri"/>
          <w:sz w:val="22"/>
          <w:szCs w:val="22"/>
        </w:rPr>
        <w:footnoteRef/>
      </w:r>
      <w:r w:rsidRPr="00863100">
        <w:rPr>
          <w:rFonts w:hAnsi="Calibri" w:cs="Calibri"/>
          <w:sz w:val="22"/>
          <w:szCs w:val="22"/>
          <w:lang w:val="en-US"/>
        </w:rPr>
        <w:t xml:space="preserve"> Ob. cit. Nota 129 art. 260-7 pár 1 ap.2. </w:t>
      </w:r>
    </w:p>
  </w:footnote>
  <w:footnote w:id="133">
    <w:p w:rsidR="00D529C5" w:rsidRDefault="00D529C5" w:rsidP="002E54B9">
      <w:pPr>
        <w:pStyle w:val="FootnoteText"/>
        <w:jc w:val="both"/>
      </w:pPr>
      <w:r w:rsidRPr="002E54B9">
        <w:rPr>
          <w:rStyle w:val="FootnoteReference"/>
          <w:rFonts w:hAnsi="Calibri" w:cs="Calibri"/>
          <w:sz w:val="22"/>
          <w:szCs w:val="22"/>
        </w:rPr>
        <w:footnoteRef/>
      </w:r>
      <w:r w:rsidRPr="00353AB6">
        <w:rPr>
          <w:rFonts w:hAnsi="Calibri" w:cs="Calibri"/>
          <w:sz w:val="22"/>
          <w:szCs w:val="22"/>
          <w:lang w:val="en-US"/>
        </w:rPr>
        <w:t xml:space="preserve"> Ob. cit. Nota 129 art. 260-7 pár 1 ap.2 pár 2.</w:t>
      </w:r>
    </w:p>
  </w:footnote>
  <w:footnote w:id="134">
    <w:p w:rsidR="00D529C5" w:rsidRDefault="00D529C5" w:rsidP="002E54B9">
      <w:pPr>
        <w:pStyle w:val="FootnoteText"/>
        <w:jc w:val="both"/>
      </w:pPr>
      <w:r w:rsidRPr="002E54B9">
        <w:rPr>
          <w:rStyle w:val="FootnoteReference"/>
          <w:rFonts w:hAnsi="Calibri" w:cs="Calibri"/>
          <w:sz w:val="22"/>
          <w:szCs w:val="22"/>
        </w:rPr>
        <w:footnoteRef/>
      </w:r>
      <w:r w:rsidRPr="00353AB6">
        <w:rPr>
          <w:rFonts w:hAnsi="Calibri" w:cs="Calibri"/>
          <w:sz w:val="22"/>
          <w:szCs w:val="22"/>
          <w:lang w:val="en-US"/>
        </w:rPr>
        <w:t xml:space="preserve"> Ob. cit. Nota 129 art. 260-7 párag 1.</w:t>
      </w:r>
    </w:p>
  </w:footnote>
  <w:footnote w:id="135">
    <w:p w:rsidR="00D529C5" w:rsidRDefault="00D529C5" w:rsidP="002E54B9">
      <w:pPr>
        <w:pStyle w:val="FootnoteText"/>
        <w:jc w:val="both"/>
      </w:pPr>
      <w:r w:rsidRPr="002E54B9">
        <w:rPr>
          <w:rStyle w:val="FootnoteReference"/>
          <w:rFonts w:hAnsi="Calibri" w:cs="Calibri"/>
          <w:sz w:val="22"/>
          <w:szCs w:val="22"/>
        </w:rPr>
        <w:footnoteRef/>
      </w:r>
      <w:r w:rsidRPr="00353AB6">
        <w:rPr>
          <w:rFonts w:hAnsi="Calibri" w:cs="Calibri"/>
          <w:sz w:val="22"/>
          <w:szCs w:val="22"/>
          <w:lang w:val="en-US"/>
        </w:rPr>
        <w:t xml:space="preserve"> Ob. cit. Nota 129 art. 260-7 párag 4.</w:t>
      </w:r>
      <w:r w:rsidRPr="00353AB6">
        <w:rPr>
          <w:sz w:val="22"/>
          <w:szCs w:val="22"/>
          <w:lang w:val="en-US"/>
        </w:rPr>
        <w:t xml:space="preserve"> </w:t>
      </w:r>
    </w:p>
  </w:footnote>
  <w:footnote w:id="136">
    <w:p w:rsidR="00D529C5" w:rsidRPr="002E54B9" w:rsidRDefault="00D529C5" w:rsidP="002E54B9">
      <w:pPr>
        <w:pStyle w:val="FootnoteText"/>
        <w:jc w:val="both"/>
        <w:rPr>
          <w:rFonts w:hAnsi="Calibri" w:cs="Calibri"/>
          <w:bCs/>
          <w:color w:val="000000"/>
          <w:sz w:val="22"/>
          <w:szCs w:val="22"/>
        </w:rPr>
      </w:pPr>
      <w:r w:rsidRPr="002E54B9">
        <w:rPr>
          <w:rStyle w:val="FootnoteReference"/>
          <w:rFonts w:hAnsi="Calibri" w:cs="Calibri"/>
          <w:sz w:val="22"/>
          <w:szCs w:val="22"/>
        </w:rPr>
        <w:footnoteRef/>
      </w:r>
      <w:r w:rsidRPr="002E54B9">
        <w:rPr>
          <w:rFonts w:hAnsi="Calibri" w:cs="Calibri"/>
          <w:sz w:val="22"/>
          <w:szCs w:val="22"/>
        </w:rPr>
        <w:t xml:space="preserve"> </w:t>
      </w:r>
      <w:r>
        <w:rPr>
          <w:rFonts w:hAnsi="Calibri" w:cs="Calibri"/>
          <w:sz w:val="22"/>
          <w:szCs w:val="22"/>
        </w:rPr>
        <w:t>Reglamento d</w:t>
      </w:r>
      <w:r w:rsidRPr="002E54B9">
        <w:rPr>
          <w:rFonts w:hAnsi="Calibri" w:cs="Calibri"/>
          <w:sz w:val="22"/>
          <w:szCs w:val="22"/>
        </w:rPr>
        <w:t xml:space="preserve">e </w:t>
      </w:r>
      <w:r>
        <w:rPr>
          <w:rFonts w:hAnsi="Calibri" w:cs="Calibri"/>
          <w:sz w:val="22"/>
          <w:szCs w:val="22"/>
        </w:rPr>
        <w:t>l</w:t>
      </w:r>
      <w:r w:rsidRPr="002E54B9">
        <w:rPr>
          <w:rFonts w:hAnsi="Calibri" w:cs="Calibri"/>
          <w:sz w:val="22"/>
          <w:szCs w:val="22"/>
        </w:rPr>
        <w:t xml:space="preserve">a Ley </w:t>
      </w:r>
      <w:r>
        <w:rPr>
          <w:rFonts w:hAnsi="Calibri" w:cs="Calibri"/>
          <w:sz w:val="22"/>
          <w:szCs w:val="22"/>
        </w:rPr>
        <w:t>d</w:t>
      </w:r>
      <w:r w:rsidRPr="002E54B9">
        <w:rPr>
          <w:rFonts w:hAnsi="Calibri" w:cs="Calibri"/>
          <w:sz w:val="22"/>
          <w:szCs w:val="22"/>
        </w:rPr>
        <w:t xml:space="preserve">el Impuesto </w:t>
      </w:r>
      <w:r>
        <w:rPr>
          <w:rFonts w:hAnsi="Calibri" w:cs="Calibri"/>
          <w:sz w:val="22"/>
          <w:szCs w:val="22"/>
        </w:rPr>
        <w:t>a</w:t>
      </w:r>
      <w:r w:rsidRPr="002E54B9">
        <w:rPr>
          <w:rFonts w:hAnsi="Calibri" w:cs="Calibri"/>
          <w:sz w:val="22"/>
          <w:szCs w:val="22"/>
        </w:rPr>
        <w:t xml:space="preserve"> </w:t>
      </w:r>
      <w:r>
        <w:rPr>
          <w:rFonts w:hAnsi="Calibri" w:cs="Calibri"/>
          <w:sz w:val="22"/>
          <w:szCs w:val="22"/>
        </w:rPr>
        <w:t>l</w:t>
      </w:r>
      <w:r w:rsidRPr="002E54B9">
        <w:rPr>
          <w:rFonts w:hAnsi="Calibri" w:cs="Calibri"/>
          <w:sz w:val="22"/>
          <w:szCs w:val="22"/>
        </w:rPr>
        <w:t>a Renta Decreto Supremo Nº 122-94-EF, Capitulo XVI art.</w:t>
      </w:r>
      <w:r w:rsidRPr="002E54B9">
        <w:rPr>
          <w:rFonts w:hAnsi="Calibri" w:cs="Calibri"/>
          <w:b/>
          <w:bCs/>
          <w:color w:val="000000"/>
          <w:sz w:val="22"/>
          <w:szCs w:val="22"/>
        </w:rPr>
        <w:t xml:space="preserve"> </w:t>
      </w:r>
      <w:r w:rsidRPr="002E54B9">
        <w:rPr>
          <w:rFonts w:hAnsi="Calibri" w:cs="Calibri"/>
          <w:bCs/>
          <w:color w:val="000000"/>
          <w:sz w:val="22"/>
          <w:szCs w:val="22"/>
        </w:rPr>
        <w:t>86 pár 1.</w:t>
      </w:r>
      <w:r w:rsidRPr="002E54B9">
        <w:rPr>
          <w:rFonts w:hAnsi="Calibri" w:cs="Calibri"/>
          <w:sz w:val="22"/>
          <w:szCs w:val="22"/>
        </w:rPr>
        <w:t xml:space="preserve"> [en línea]</w:t>
      </w:r>
    </w:p>
    <w:p w:rsidR="00D529C5" w:rsidRDefault="00D529C5" w:rsidP="002E54B9">
      <w:pPr>
        <w:pStyle w:val="FootnoteText"/>
        <w:jc w:val="both"/>
      </w:pPr>
      <w:hyperlink r:id="rId28" w:history="1">
        <w:r w:rsidRPr="002E54B9">
          <w:rPr>
            <w:rStyle w:val="Hyperlink"/>
            <w:rFonts w:hAnsi="Calibri" w:cs="Calibri"/>
            <w:bCs/>
            <w:sz w:val="22"/>
            <w:szCs w:val="22"/>
          </w:rPr>
          <w:t>http://www.sunat.gob.pe/legislacion/renta/regla/cap16.htm</w:t>
        </w:r>
      </w:hyperlink>
    </w:p>
  </w:footnote>
  <w:footnote w:id="137">
    <w:p w:rsidR="00D529C5" w:rsidRPr="002E54B9" w:rsidRDefault="00D529C5" w:rsidP="002E54B9">
      <w:pPr>
        <w:pStyle w:val="FootnoteText"/>
        <w:jc w:val="both"/>
        <w:rPr>
          <w:rFonts w:hAnsi="Calibri" w:cs="Calibri"/>
          <w:color w:val="000000"/>
          <w:sz w:val="22"/>
          <w:szCs w:val="22"/>
        </w:rPr>
      </w:pPr>
      <w:r w:rsidRPr="002E54B9">
        <w:rPr>
          <w:rStyle w:val="FootnoteReference"/>
          <w:rFonts w:hAnsi="Calibri" w:cs="Calibri"/>
          <w:sz w:val="22"/>
          <w:szCs w:val="22"/>
        </w:rPr>
        <w:footnoteRef/>
      </w:r>
      <w:r w:rsidRPr="002E54B9">
        <w:rPr>
          <w:rFonts w:hAnsi="Calibri" w:cs="Calibri"/>
          <w:sz w:val="22"/>
          <w:szCs w:val="22"/>
        </w:rPr>
        <w:t xml:space="preserve"> ANEXO LISTA DE PAÍSES O TERRITORIOS CONSIDERADOS DE BAJA O NULA IMPOSICIÓN</w:t>
      </w:r>
      <w:r w:rsidRPr="002E54B9">
        <w:rPr>
          <w:rFonts w:hAnsi="Calibri" w:cs="Calibri"/>
          <w:color w:val="000000"/>
          <w:sz w:val="22"/>
          <w:szCs w:val="22"/>
        </w:rPr>
        <w:t xml:space="preserve"> Alderney, Andorra, Anguila, Antigua y Barbuda, Antillas Neerlandesas, Aruba, Bahamas, </w:t>
      </w:r>
      <w:r w:rsidRPr="002E54B9">
        <w:rPr>
          <w:rFonts w:hAnsi="Calibri" w:cs="Calibri"/>
          <w:color w:val="000000"/>
          <w:sz w:val="22"/>
          <w:szCs w:val="22"/>
          <w:lang w:val="es-MX"/>
        </w:rPr>
        <w:t xml:space="preserve">Bahrain, Barbados, Belice, Bermuda, Chipre, </w:t>
      </w:r>
      <w:r w:rsidRPr="002E54B9">
        <w:rPr>
          <w:rFonts w:hAnsi="Calibri" w:cs="Calibri"/>
          <w:color w:val="000000"/>
          <w:sz w:val="22"/>
          <w:szCs w:val="22"/>
        </w:rPr>
        <w:t xml:space="preserve">Dominica, Guernsey, </w:t>
      </w:r>
      <w:r w:rsidRPr="002E54B9">
        <w:rPr>
          <w:rFonts w:hAnsi="Calibri" w:cs="Calibri"/>
          <w:color w:val="000000"/>
          <w:sz w:val="22"/>
          <w:szCs w:val="22"/>
          <w:lang w:val="es-MX"/>
        </w:rPr>
        <w:t xml:space="preserve">Gibraltar, Granada, Hong Kong, Isla de Man, Islas Caimán, </w:t>
      </w:r>
      <w:r w:rsidRPr="002E54B9">
        <w:rPr>
          <w:rFonts w:hAnsi="Calibri" w:cs="Calibri"/>
          <w:color w:val="000000"/>
          <w:sz w:val="22"/>
          <w:szCs w:val="22"/>
        </w:rPr>
        <w:t>Islas Cook, Islas Marshall, Islas Turcas y Caícos, Islas Vírgenes Británicas, Islas Vírgenes de Estados Unidos de América, Jersey, Labuán, Liberia, Liechtenstein, Luxemburgo, Madeira, Maldivas,</w:t>
      </w:r>
      <w:r w:rsidRPr="00FB72C8">
        <w:rPr>
          <w:rFonts w:hAnsi="Calibri" w:cs="Calibri"/>
          <w:color w:val="000000"/>
          <w:sz w:val="22"/>
          <w:szCs w:val="22"/>
        </w:rPr>
        <w:t xml:space="preserve"> </w:t>
      </w:r>
      <w:r w:rsidRPr="002E54B9">
        <w:rPr>
          <w:rFonts w:hAnsi="Calibri" w:cs="Calibri"/>
          <w:color w:val="000000"/>
          <w:sz w:val="22"/>
          <w:szCs w:val="22"/>
        </w:rPr>
        <w:t xml:space="preserve">Mónaco, Monserrat, </w:t>
      </w:r>
      <w:r w:rsidRPr="002E54B9">
        <w:rPr>
          <w:rFonts w:hAnsi="Calibri" w:cs="Calibri"/>
          <w:color w:val="000000"/>
          <w:sz w:val="22"/>
          <w:szCs w:val="22"/>
          <w:lang w:val="es-MX"/>
        </w:rPr>
        <w:t xml:space="preserve">Nauru, Niue, </w:t>
      </w:r>
      <w:r w:rsidRPr="002E54B9">
        <w:rPr>
          <w:rFonts w:hAnsi="Calibri" w:cs="Calibri"/>
          <w:color w:val="000000"/>
          <w:sz w:val="22"/>
          <w:szCs w:val="22"/>
        </w:rPr>
        <w:t>Panamá, Samoa Occidental, San Cristóbal y Nevis, San Vicente y las Granadinas, Santa Lucía, Seychelles, Tonga, Vanuatu.</w:t>
      </w:r>
      <w:r w:rsidRPr="002E54B9">
        <w:rPr>
          <w:rFonts w:hAnsi="Calibri" w:cs="Calibri"/>
          <w:sz w:val="22"/>
          <w:szCs w:val="22"/>
        </w:rPr>
        <w:t xml:space="preserve"> [en línea]</w:t>
      </w:r>
    </w:p>
    <w:p w:rsidR="00D529C5" w:rsidRDefault="00D529C5" w:rsidP="00077065">
      <w:pPr>
        <w:pStyle w:val="FootnoteText"/>
        <w:jc w:val="both"/>
      </w:pPr>
      <w:hyperlink r:id="rId29" w:history="1">
        <w:r w:rsidRPr="002E54B9">
          <w:rPr>
            <w:rStyle w:val="Hyperlink"/>
            <w:rFonts w:hAnsi="Calibri" w:cs="Calibri"/>
            <w:sz w:val="22"/>
            <w:szCs w:val="22"/>
          </w:rPr>
          <w:t>http://www.sunat.gob.pe/legislacion/renta/regla/anexo.htm</w:t>
        </w:r>
      </w:hyperlink>
    </w:p>
  </w:footnote>
  <w:footnote w:id="138">
    <w:p w:rsidR="00D529C5" w:rsidRDefault="00D529C5" w:rsidP="00077065">
      <w:pPr>
        <w:pStyle w:val="FootnoteText"/>
        <w:jc w:val="both"/>
      </w:pPr>
      <w:r w:rsidRPr="002E54B9">
        <w:rPr>
          <w:rStyle w:val="FootnoteReference"/>
          <w:rFonts w:hAnsi="Calibri"/>
          <w:sz w:val="22"/>
          <w:szCs w:val="22"/>
        </w:rPr>
        <w:footnoteRef/>
      </w:r>
      <w:r w:rsidRPr="002E54B9">
        <w:rPr>
          <w:rFonts w:hAnsi="Calibri"/>
          <w:sz w:val="22"/>
          <w:szCs w:val="22"/>
        </w:rPr>
        <w:t xml:space="preserve"> </w:t>
      </w:r>
      <w:r w:rsidRPr="00863100">
        <w:rPr>
          <w:rFonts w:hAnsi="Calibri" w:cs="Calibri"/>
          <w:sz w:val="22"/>
          <w:szCs w:val="22"/>
        </w:rPr>
        <w:t xml:space="preserve">Ob. cit. Nota 135 </w:t>
      </w:r>
      <w:r w:rsidRPr="002E54B9">
        <w:rPr>
          <w:rFonts w:hAnsi="Calibri" w:cs="Calibri"/>
          <w:sz w:val="22"/>
          <w:szCs w:val="22"/>
        </w:rPr>
        <w:t>Capitulo XVI</w:t>
      </w:r>
      <w:r>
        <w:rPr>
          <w:rFonts w:hAnsi="Calibri"/>
          <w:sz w:val="22"/>
          <w:szCs w:val="22"/>
        </w:rPr>
        <w:t xml:space="preserve">, </w:t>
      </w:r>
      <w:r w:rsidRPr="002E54B9">
        <w:rPr>
          <w:rFonts w:hAnsi="Calibri"/>
          <w:sz w:val="22"/>
          <w:szCs w:val="22"/>
        </w:rPr>
        <w:t>art.</w:t>
      </w:r>
      <w:r w:rsidRPr="002E54B9">
        <w:rPr>
          <w:rFonts w:hAnsi="Calibri"/>
          <w:bCs/>
          <w:color w:val="000000"/>
          <w:sz w:val="22"/>
          <w:szCs w:val="22"/>
        </w:rPr>
        <w:t xml:space="preserve"> 86 pár 2.</w:t>
      </w:r>
    </w:p>
  </w:footnote>
  <w:footnote w:id="139">
    <w:p w:rsidR="00D529C5" w:rsidRDefault="00D529C5" w:rsidP="00077065">
      <w:pPr>
        <w:pStyle w:val="FootnoteText"/>
        <w:jc w:val="both"/>
      </w:pPr>
      <w:r w:rsidRPr="002E54B9">
        <w:rPr>
          <w:rStyle w:val="FootnoteReference"/>
          <w:rFonts w:hAnsi="Calibri"/>
          <w:sz w:val="22"/>
          <w:szCs w:val="22"/>
        </w:rPr>
        <w:footnoteRef/>
      </w:r>
      <w:r w:rsidRPr="002E54B9">
        <w:rPr>
          <w:rFonts w:hAnsi="Calibri"/>
          <w:sz w:val="22"/>
          <w:szCs w:val="22"/>
        </w:rPr>
        <w:t xml:space="preserve"> </w:t>
      </w:r>
      <w:r w:rsidRPr="00863100">
        <w:rPr>
          <w:rFonts w:hAnsi="Calibri" w:cs="Calibri"/>
          <w:sz w:val="22"/>
          <w:szCs w:val="22"/>
        </w:rPr>
        <w:t xml:space="preserve">Ob. cit. Nota 135 </w:t>
      </w:r>
      <w:r w:rsidRPr="002E54B9">
        <w:rPr>
          <w:rFonts w:hAnsi="Calibri" w:cs="Calibri"/>
          <w:sz w:val="22"/>
          <w:szCs w:val="22"/>
        </w:rPr>
        <w:t>Capitulo XVI</w:t>
      </w:r>
      <w:r>
        <w:rPr>
          <w:rFonts w:hAnsi="Calibri" w:cs="Calibri"/>
          <w:sz w:val="22"/>
          <w:szCs w:val="22"/>
        </w:rPr>
        <w:t>,</w:t>
      </w:r>
      <w:r w:rsidRPr="002E54B9">
        <w:rPr>
          <w:rFonts w:hAnsi="Calibri" w:cs="Calibri"/>
          <w:sz w:val="22"/>
          <w:szCs w:val="22"/>
        </w:rPr>
        <w:t xml:space="preserve"> </w:t>
      </w:r>
      <w:r w:rsidRPr="002E54B9">
        <w:rPr>
          <w:rFonts w:hAnsi="Calibri"/>
          <w:sz w:val="22"/>
          <w:szCs w:val="22"/>
        </w:rPr>
        <w:t>art.</w:t>
      </w:r>
      <w:r w:rsidRPr="002E54B9">
        <w:rPr>
          <w:rFonts w:hAnsi="Calibri"/>
          <w:bCs/>
          <w:color w:val="000000"/>
          <w:sz w:val="22"/>
          <w:szCs w:val="22"/>
        </w:rPr>
        <w:t xml:space="preserve"> 86 pár 3.</w:t>
      </w:r>
    </w:p>
  </w:footnote>
  <w:footnote w:id="140">
    <w:p w:rsidR="00D529C5" w:rsidRDefault="00D529C5" w:rsidP="00077065">
      <w:pPr>
        <w:pStyle w:val="FootnoteText"/>
        <w:jc w:val="both"/>
      </w:pPr>
      <w:r w:rsidRPr="002E54B9">
        <w:rPr>
          <w:rStyle w:val="FootnoteReference"/>
          <w:rFonts w:hAnsi="Calibri"/>
          <w:sz w:val="22"/>
          <w:szCs w:val="22"/>
        </w:rPr>
        <w:footnoteRef/>
      </w:r>
      <w:r w:rsidRPr="00353AB6">
        <w:rPr>
          <w:rFonts w:hAnsi="Calibri"/>
          <w:sz w:val="22"/>
          <w:szCs w:val="22"/>
          <w:lang w:val="it-IT"/>
        </w:rPr>
        <w:t xml:space="preserve"> </w:t>
      </w:r>
      <w:r w:rsidRPr="00353AB6">
        <w:rPr>
          <w:rFonts w:hAnsi="Calibri" w:cs="Calibri"/>
          <w:sz w:val="22"/>
          <w:szCs w:val="22"/>
          <w:lang w:val="it-IT"/>
        </w:rPr>
        <w:t xml:space="preserve">Ob. cit. Nota 135 Capitulo XVI, </w:t>
      </w:r>
      <w:r w:rsidRPr="00353AB6">
        <w:rPr>
          <w:rFonts w:hAnsi="Calibri"/>
          <w:sz w:val="22"/>
          <w:szCs w:val="22"/>
          <w:lang w:val="it-IT"/>
        </w:rPr>
        <w:t>art.</w:t>
      </w:r>
      <w:r w:rsidRPr="00353AB6">
        <w:rPr>
          <w:rFonts w:hAnsi="Calibri"/>
          <w:bCs/>
          <w:color w:val="000000"/>
          <w:sz w:val="22"/>
          <w:szCs w:val="22"/>
          <w:lang w:val="it-IT"/>
        </w:rPr>
        <w:t xml:space="preserve"> 86 pár 3 in fine.</w:t>
      </w:r>
    </w:p>
  </w:footnote>
  <w:footnote w:id="141">
    <w:p w:rsidR="00D529C5" w:rsidRDefault="00D529C5" w:rsidP="00077065">
      <w:pPr>
        <w:pStyle w:val="FootnoteText"/>
        <w:jc w:val="both"/>
      </w:pPr>
      <w:r w:rsidRPr="002E54B9">
        <w:rPr>
          <w:rStyle w:val="FootnoteReference"/>
          <w:rFonts w:hAnsi="Calibri"/>
          <w:sz w:val="22"/>
          <w:szCs w:val="22"/>
        </w:rPr>
        <w:footnoteRef/>
      </w:r>
      <w:r w:rsidRPr="00353AB6">
        <w:rPr>
          <w:rFonts w:hAnsi="Calibri"/>
          <w:sz w:val="22"/>
          <w:szCs w:val="22"/>
          <w:lang w:val="it-IT"/>
        </w:rPr>
        <w:t xml:space="preserve"> </w:t>
      </w:r>
      <w:r w:rsidRPr="00353AB6">
        <w:rPr>
          <w:rFonts w:hAnsi="Calibri" w:cs="Calibri"/>
          <w:sz w:val="22"/>
          <w:szCs w:val="22"/>
          <w:lang w:val="it-IT"/>
        </w:rPr>
        <w:t>Ob. cit. Nota 135 Capitulo XVI</w:t>
      </w:r>
      <w:r w:rsidRPr="00353AB6">
        <w:rPr>
          <w:rFonts w:hAnsi="Calibri"/>
          <w:sz w:val="22"/>
          <w:szCs w:val="22"/>
          <w:lang w:val="it-IT"/>
        </w:rPr>
        <w:t>, art.</w:t>
      </w:r>
      <w:r w:rsidRPr="00353AB6">
        <w:rPr>
          <w:rFonts w:hAnsi="Calibri"/>
          <w:bCs/>
          <w:color w:val="000000"/>
          <w:sz w:val="22"/>
          <w:szCs w:val="22"/>
          <w:lang w:val="it-IT"/>
        </w:rPr>
        <w:t xml:space="preserve"> 87.</w:t>
      </w:r>
    </w:p>
  </w:footnote>
  <w:footnote w:id="142">
    <w:p w:rsidR="00D529C5" w:rsidRDefault="00D529C5" w:rsidP="002E54B9">
      <w:pPr>
        <w:pStyle w:val="FootnoteText"/>
        <w:jc w:val="both"/>
      </w:pPr>
      <w:r w:rsidRPr="002E54B9">
        <w:rPr>
          <w:rStyle w:val="FootnoteReference"/>
          <w:sz w:val="22"/>
          <w:szCs w:val="22"/>
        </w:rPr>
        <w:footnoteRef/>
      </w:r>
      <w:r w:rsidRPr="00353AB6">
        <w:rPr>
          <w:sz w:val="22"/>
          <w:szCs w:val="22"/>
          <w:lang w:val="it-IT"/>
        </w:rPr>
        <w:t xml:space="preserve"> </w:t>
      </w:r>
      <w:r w:rsidRPr="00353AB6">
        <w:rPr>
          <w:rFonts w:hAnsi="Calibri" w:cs="Calibri"/>
          <w:sz w:val="22"/>
          <w:szCs w:val="22"/>
          <w:lang w:val="it-IT"/>
        </w:rPr>
        <w:t xml:space="preserve">Ob. cit. Nota 1 </w:t>
      </w:r>
      <w:r w:rsidRPr="00353AB6">
        <w:rPr>
          <w:sz w:val="22"/>
          <w:szCs w:val="22"/>
          <w:lang w:val="it-IT"/>
        </w:rPr>
        <w:t>a</w:t>
      </w:r>
      <w:r w:rsidRPr="00353AB6">
        <w:rPr>
          <w:rFonts w:hAnsi="Calibri"/>
          <w:sz w:val="22"/>
          <w:szCs w:val="22"/>
          <w:lang w:val="it-IT"/>
        </w:rPr>
        <w:t>rt. 8 pár 5.</w:t>
      </w:r>
    </w:p>
  </w:footnote>
  <w:footnote w:id="143">
    <w:p w:rsidR="00D529C5" w:rsidRDefault="00D529C5" w:rsidP="002E54B9">
      <w:pPr>
        <w:pStyle w:val="FootnoteText"/>
        <w:jc w:val="both"/>
      </w:pPr>
      <w:r w:rsidRPr="002E54B9">
        <w:rPr>
          <w:rStyle w:val="FootnoteReference"/>
          <w:sz w:val="22"/>
          <w:szCs w:val="22"/>
        </w:rPr>
        <w:footnoteRef/>
      </w:r>
      <w:r w:rsidRPr="00353AB6">
        <w:rPr>
          <w:sz w:val="22"/>
          <w:szCs w:val="22"/>
          <w:lang w:val="it-IT"/>
        </w:rPr>
        <w:t xml:space="preserve"> </w:t>
      </w:r>
      <w:r w:rsidRPr="00353AB6">
        <w:rPr>
          <w:rFonts w:hAnsi="Calibri" w:cs="Calibri"/>
          <w:sz w:val="22"/>
          <w:szCs w:val="22"/>
          <w:lang w:val="it-IT"/>
        </w:rPr>
        <w:t xml:space="preserve">Ob. cit. Nota 1 </w:t>
      </w:r>
      <w:r w:rsidRPr="00353AB6">
        <w:rPr>
          <w:sz w:val="22"/>
          <w:szCs w:val="22"/>
          <w:lang w:val="it-IT"/>
        </w:rPr>
        <w:t>a</w:t>
      </w:r>
      <w:r w:rsidRPr="00353AB6">
        <w:rPr>
          <w:rFonts w:hAnsi="Calibri"/>
          <w:sz w:val="22"/>
          <w:szCs w:val="22"/>
          <w:lang w:val="it-IT"/>
        </w:rPr>
        <w:t>rt. 15 pár2.</w:t>
      </w:r>
    </w:p>
  </w:footnote>
  <w:footnote w:id="144">
    <w:p w:rsidR="00D529C5" w:rsidRDefault="00D529C5" w:rsidP="002E54B9">
      <w:pPr>
        <w:pStyle w:val="FootnoteText"/>
        <w:jc w:val="both"/>
      </w:pPr>
      <w:r w:rsidRPr="005D67F3">
        <w:rPr>
          <w:rStyle w:val="FootnoteReference"/>
          <w:sz w:val="22"/>
          <w:szCs w:val="22"/>
        </w:rPr>
        <w:footnoteRef/>
      </w:r>
      <w:r w:rsidRPr="00353AB6">
        <w:rPr>
          <w:sz w:val="22"/>
          <w:szCs w:val="22"/>
          <w:lang w:val="it-IT"/>
        </w:rPr>
        <w:t xml:space="preserve"> </w:t>
      </w:r>
      <w:r w:rsidRPr="00353AB6">
        <w:rPr>
          <w:rFonts w:hAnsi="Calibri" w:cs="Calibri"/>
          <w:sz w:val="22"/>
          <w:szCs w:val="22"/>
          <w:lang w:val="it-IT"/>
        </w:rPr>
        <w:t xml:space="preserve">Ob. cit. Nota 1 </w:t>
      </w:r>
      <w:r w:rsidRPr="00353AB6">
        <w:rPr>
          <w:sz w:val="22"/>
          <w:szCs w:val="22"/>
          <w:lang w:val="it-IT"/>
        </w:rPr>
        <w:t>a</w:t>
      </w:r>
      <w:r w:rsidRPr="00353AB6">
        <w:rPr>
          <w:rFonts w:hAnsi="Calibri"/>
          <w:sz w:val="22"/>
          <w:szCs w:val="22"/>
          <w:lang w:val="it-IT"/>
        </w:rPr>
        <w:t>rt. 18 últ. pár.</w:t>
      </w:r>
    </w:p>
  </w:footnote>
  <w:footnote w:id="145">
    <w:p w:rsidR="00D529C5" w:rsidRDefault="00D529C5" w:rsidP="002E54B9">
      <w:pPr>
        <w:pStyle w:val="FootnoteText"/>
        <w:jc w:val="both"/>
      </w:pPr>
      <w:r w:rsidRPr="005D67F3">
        <w:rPr>
          <w:rStyle w:val="FootnoteReference"/>
          <w:sz w:val="22"/>
          <w:szCs w:val="22"/>
        </w:rPr>
        <w:footnoteRef/>
      </w:r>
      <w:r w:rsidRPr="00C82FA7">
        <w:rPr>
          <w:sz w:val="22"/>
          <w:szCs w:val="22"/>
        </w:rPr>
        <w:t xml:space="preserve"> </w:t>
      </w:r>
      <w:r w:rsidRPr="00C82FA7">
        <w:rPr>
          <w:rFonts w:hAnsi="Calibri" w:cs="Calibri"/>
          <w:sz w:val="22"/>
          <w:szCs w:val="22"/>
        </w:rPr>
        <w:t xml:space="preserve">Ob. cit. Nota 1 </w:t>
      </w:r>
      <w:r w:rsidRPr="00C82FA7">
        <w:rPr>
          <w:sz w:val="22"/>
          <w:szCs w:val="22"/>
        </w:rPr>
        <w:t>a</w:t>
      </w:r>
      <w:r w:rsidRPr="00C82FA7">
        <w:rPr>
          <w:rFonts w:hAnsi="Calibri"/>
          <w:sz w:val="22"/>
          <w:szCs w:val="22"/>
        </w:rPr>
        <w:t>rt. 133, inc. a) y 148.</w:t>
      </w:r>
    </w:p>
  </w:footnote>
  <w:footnote w:id="146">
    <w:p w:rsidR="00D529C5" w:rsidRDefault="00D529C5" w:rsidP="002E54B9">
      <w:pPr>
        <w:pStyle w:val="FootnoteText"/>
        <w:jc w:val="both"/>
      </w:pPr>
      <w:r w:rsidRPr="005D67F3">
        <w:rPr>
          <w:rStyle w:val="FootnoteReference"/>
          <w:sz w:val="22"/>
          <w:szCs w:val="22"/>
        </w:rPr>
        <w:footnoteRef/>
      </w:r>
      <w:r w:rsidRPr="003079E4">
        <w:rPr>
          <w:sz w:val="22"/>
          <w:szCs w:val="22"/>
        </w:rPr>
        <w:t xml:space="preserve"> </w:t>
      </w:r>
      <w:r w:rsidRPr="00C82FA7">
        <w:rPr>
          <w:rFonts w:hAnsi="Calibri" w:cs="Calibri"/>
          <w:sz w:val="22"/>
          <w:szCs w:val="22"/>
        </w:rPr>
        <w:t xml:space="preserve">Ob. cit. Nota 6 </w:t>
      </w:r>
      <w:r w:rsidRPr="005D67F3">
        <w:rPr>
          <w:rFonts w:hAnsi="Calibri" w:cs="Calibri"/>
          <w:sz w:val="22"/>
          <w:szCs w:val="22"/>
        </w:rPr>
        <w:t xml:space="preserve"> primer art. incorporado a continuación del art. VIII incorporado a continuación del art. 165.</w:t>
      </w:r>
    </w:p>
  </w:footnote>
  <w:footnote w:id="147">
    <w:p w:rsidR="00D529C5" w:rsidRDefault="00D529C5" w:rsidP="002E54B9">
      <w:pPr>
        <w:pStyle w:val="FootnoteText"/>
        <w:jc w:val="both"/>
      </w:pPr>
      <w:r w:rsidRPr="005D67F3">
        <w:rPr>
          <w:rStyle w:val="FootnoteReference"/>
          <w:sz w:val="22"/>
          <w:szCs w:val="22"/>
        </w:rPr>
        <w:footnoteRef/>
      </w:r>
      <w:r w:rsidRPr="003079E4">
        <w:rPr>
          <w:sz w:val="22"/>
          <w:szCs w:val="22"/>
        </w:rPr>
        <w:t xml:space="preserve"> </w:t>
      </w:r>
      <w:r w:rsidRPr="00C82FA7">
        <w:rPr>
          <w:rFonts w:hAnsi="Calibri" w:cs="Calibri"/>
          <w:sz w:val="22"/>
          <w:szCs w:val="22"/>
        </w:rPr>
        <w:t xml:space="preserve">Ob. cit. Nota 6 </w:t>
      </w:r>
      <w:r w:rsidRPr="005D67F3">
        <w:rPr>
          <w:rFonts w:hAnsi="Calibri" w:cs="Calibri"/>
          <w:sz w:val="22"/>
          <w:szCs w:val="22"/>
        </w:rPr>
        <w:t>segundo art. incorporado a continuación del art. VIII incorporado a continuación del art. 165.</w:t>
      </w:r>
    </w:p>
  </w:footnote>
  <w:footnote w:id="148">
    <w:p w:rsidR="00D529C5" w:rsidRDefault="00D529C5" w:rsidP="002E54B9">
      <w:pPr>
        <w:pStyle w:val="FootnoteText"/>
        <w:jc w:val="both"/>
      </w:pPr>
      <w:r w:rsidRPr="005D67F3">
        <w:rPr>
          <w:rStyle w:val="FootnoteReference"/>
          <w:sz w:val="22"/>
          <w:szCs w:val="22"/>
        </w:rPr>
        <w:footnoteRef/>
      </w:r>
      <w:r w:rsidRPr="005D67F3">
        <w:rPr>
          <w:rFonts w:hAnsi="Calibri" w:cs="Calibri"/>
          <w:sz w:val="22"/>
          <w:szCs w:val="22"/>
        </w:rPr>
        <w:t xml:space="preserve"> </w:t>
      </w:r>
      <w:r w:rsidRPr="00067786">
        <w:rPr>
          <w:rFonts w:hAnsi="Calibri" w:cs="Calibri"/>
          <w:sz w:val="22"/>
          <w:szCs w:val="22"/>
        </w:rPr>
        <w:t xml:space="preserve">Ob. cit. Nota 6 </w:t>
      </w:r>
      <w:r w:rsidRPr="005D67F3">
        <w:rPr>
          <w:rFonts w:hAnsi="Calibri" w:cs="Calibri"/>
          <w:sz w:val="22"/>
          <w:szCs w:val="22"/>
        </w:rPr>
        <w:t>art. incorporado a continuación del art. XIII incorporado a continuación del art. 165.</w:t>
      </w:r>
    </w:p>
  </w:footnote>
  <w:footnote w:id="149">
    <w:p w:rsidR="00D529C5" w:rsidRDefault="00D529C5" w:rsidP="00077065">
      <w:pPr>
        <w:pStyle w:val="FootnoteText"/>
        <w:jc w:val="both"/>
      </w:pPr>
      <w:r w:rsidRPr="002E54B9">
        <w:rPr>
          <w:rStyle w:val="FootnoteReference"/>
          <w:sz w:val="22"/>
          <w:szCs w:val="22"/>
        </w:rPr>
        <w:footnoteRef/>
      </w:r>
      <w:r w:rsidRPr="002E54B9">
        <w:rPr>
          <w:sz w:val="22"/>
          <w:szCs w:val="22"/>
          <w:lang w:val="en-US"/>
        </w:rPr>
        <w:t xml:space="preserve"> </w:t>
      </w:r>
      <w:r>
        <w:rPr>
          <w:rFonts w:hAnsi="Calibri" w:cs="Calibri"/>
          <w:sz w:val="22"/>
          <w:szCs w:val="22"/>
          <w:lang w:val="en-US"/>
        </w:rPr>
        <w:t xml:space="preserve">Ob. cit. Nota 1 </w:t>
      </w:r>
      <w:r w:rsidRPr="002E54B9">
        <w:rPr>
          <w:sz w:val="22"/>
          <w:szCs w:val="22"/>
          <w:lang w:val="en-US"/>
        </w:rPr>
        <w:t>a</w:t>
      </w:r>
      <w:r w:rsidRPr="002E54B9">
        <w:rPr>
          <w:rFonts w:hAnsi="Calibri"/>
          <w:sz w:val="22"/>
          <w:szCs w:val="22"/>
          <w:lang w:val="en-US"/>
        </w:rPr>
        <w:t>rt. 93 c) ap. 1).</w:t>
      </w:r>
    </w:p>
  </w:footnote>
  <w:footnote w:id="150">
    <w:p w:rsidR="00D529C5" w:rsidRDefault="00D529C5" w:rsidP="00077065">
      <w:pPr>
        <w:pStyle w:val="FootnoteText"/>
        <w:jc w:val="both"/>
      </w:pPr>
      <w:r w:rsidRPr="002E54B9">
        <w:rPr>
          <w:rStyle w:val="FootnoteReference"/>
          <w:sz w:val="22"/>
          <w:szCs w:val="22"/>
        </w:rPr>
        <w:footnoteRef/>
      </w:r>
      <w:r w:rsidRPr="002E54B9">
        <w:rPr>
          <w:sz w:val="22"/>
          <w:szCs w:val="22"/>
          <w:lang w:val="en-US"/>
        </w:rPr>
        <w:t xml:space="preserve"> </w:t>
      </w:r>
      <w:r>
        <w:rPr>
          <w:rFonts w:hAnsi="Calibri" w:cs="Calibri"/>
          <w:sz w:val="22"/>
          <w:szCs w:val="22"/>
          <w:lang w:val="en-US"/>
        </w:rPr>
        <w:t xml:space="preserve">Ob. cit. Nota 1 </w:t>
      </w:r>
      <w:r w:rsidRPr="002E54B9">
        <w:rPr>
          <w:sz w:val="22"/>
          <w:szCs w:val="22"/>
          <w:lang w:val="en-US"/>
        </w:rPr>
        <w:t>a</w:t>
      </w:r>
      <w:r w:rsidRPr="002E54B9">
        <w:rPr>
          <w:rFonts w:hAnsi="Calibri"/>
          <w:sz w:val="22"/>
          <w:szCs w:val="22"/>
          <w:lang w:val="en-US"/>
        </w:rPr>
        <w:t>rt. 93 c) ap. 2).</w:t>
      </w:r>
    </w:p>
  </w:footnote>
  <w:footnote w:id="151">
    <w:p w:rsidR="00D529C5" w:rsidRDefault="00D529C5" w:rsidP="00077065">
      <w:pPr>
        <w:pStyle w:val="FootnoteText"/>
        <w:jc w:val="both"/>
      </w:pPr>
      <w:r w:rsidRPr="002E54B9">
        <w:rPr>
          <w:rStyle w:val="FootnoteReference"/>
          <w:sz w:val="22"/>
          <w:szCs w:val="22"/>
        </w:rPr>
        <w:footnoteRef/>
      </w:r>
      <w:r w:rsidRPr="00E4665C">
        <w:rPr>
          <w:sz w:val="22"/>
          <w:szCs w:val="22"/>
          <w:lang w:val="en-US"/>
        </w:rPr>
        <w:t xml:space="preserve"> </w:t>
      </w:r>
      <w:r>
        <w:rPr>
          <w:rFonts w:hAnsi="Calibri" w:cs="Calibri"/>
          <w:sz w:val="22"/>
          <w:szCs w:val="22"/>
          <w:lang w:val="en-US"/>
        </w:rPr>
        <w:t xml:space="preserve">Ob. cit. Nota 1 </w:t>
      </w:r>
      <w:r w:rsidRPr="00E4665C">
        <w:rPr>
          <w:sz w:val="22"/>
          <w:szCs w:val="22"/>
          <w:lang w:val="en-US"/>
        </w:rPr>
        <w:t>a</w:t>
      </w:r>
      <w:r w:rsidRPr="00E4665C">
        <w:rPr>
          <w:rFonts w:hAnsi="Calibri"/>
          <w:sz w:val="22"/>
          <w:szCs w:val="22"/>
          <w:lang w:val="en-US"/>
        </w:rPr>
        <w:t>rt. 81, inc. a).</w:t>
      </w:r>
    </w:p>
  </w:footnote>
  <w:footnote w:id="152">
    <w:p w:rsidR="00D529C5" w:rsidRDefault="00D529C5" w:rsidP="00077065">
      <w:pPr>
        <w:pStyle w:val="FootnoteText"/>
        <w:jc w:val="both"/>
      </w:pPr>
      <w:r w:rsidRPr="002E54B9">
        <w:rPr>
          <w:rStyle w:val="FootnoteReference"/>
          <w:sz w:val="22"/>
          <w:szCs w:val="22"/>
        </w:rPr>
        <w:footnoteRef/>
      </w:r>
      <w:r w:rsidRPr="00FB2DEE">
        <w:rPr>
          <w:sz w:val="22"/>
          <w:szCs w:val="22"/>
        </w:rPr>
        <w:t xml:space="preserve"> </w:t>
      </w:r>
      <w:r w:rsidRPr="00FB2DEE">
        <w:rPr>
          <w:rFonts w:hAnsi="Calibri"/>
          <w:color w:val="000000"/>
          <w:sz w:val="22"/>
          <w:szCs w:val="22"/>
        </w:rPr>
        <w:t xml:space="preserve">Ley 11.683, texto ordenado por el Decreto 821/1998 (B.O. 20/07/1998) y modificaciones. Disponible en Base de </w:t>
      </w:r>
      <w:r w:rsidRPr="00542284">
        <w:rPr>
          <w:rFonts w:hAnsi="Calibri"/>
          <w:i/>
          <w:color w:val="000000"/>
          <w:sz w:val="22"/>
          <w:szCs w:val="22"/>
        </w:rPr>
        <w:t>Datos Infoleg – Información Legislativa</w:t>
      </w:r>
      <w:r>
        <w:rPr>
          <w:rFonts w:hAnsi="Calibri"/>
          <w:i/>
          <w:color w:val="000000"/>
          <w:sz w:val="22"/>
          <w:szCs w:val="22"/>
        </w:rPr>
        <w:t>,</w:t>
      </w:r>
      <w:r w:rsidRPr="003079E4">
        <w:rPr>
          <w:rFonts w:hAnsi="Calibri"/>
          <w:color w:val="000000"/>
          <w:sz w:val="22"/>
          <w:szCs w:val="22"/>
        </w:rPr>
        <w:t xml:space="preserve"> art. 18.1.</w:t>
      </w:r>
    </w:p>
  </w:footnote>
  <w:footnote w:id="153">
    <w:p w:rsidR="00D529C5" w:rsidRDefault="00D529C5" w:rsidP="00077065">
      <w:pPr>
        <w:pStyle w:val="FootnoteText"/>
        <w:jc w:val="both"/>
      </w:pPr>
      <w:r w:rsidRPr="002E54B9">
        <w:rPr>
          <w:rStyle w:val="FootnoteReference"/>
          <w:sz w:val="22"/>
          <w:szCs w:val="22"/>
        </w:rPr>
        <w:footnoteRef/>
      </w:r>
      <w:r w:rsidRPr="003079E4">
        <w:rPr>
          <w:rFonts w:hAnsi="Calibri"/>
          <w:sz w:val="22"/>
          <w:szCs w:val="22"/>
        </w:rPr>
        <w:t xml:space="preserve"> </w:t>
      </w:r>
      <w:r w:rsidRPr="003079E4">
        <w:rPr>
          <w:sz w:val="22"/>
          <w:szCs w:val="22"/>
        </w:rPr>
        <w:t>OECD Secretary-General Report to G20 Leaders Hamburg, Germany July 2017</w:t>
      </w:r>
      <w:r w:rsidRPr="003079E4">
        <w:rPr>
          <w:rFonts w:hAnsi="Calibri"/>
          <w:sz w:val="22"/>
          <w:szCs w:val="22"/>
        </w:rPr>
        <w:t xml:space="preserve"> [en línea] </w:t>
      </w:r>
      <w:hyperlink r:id="rId30" w:history="1">
        <w:r w:rsidRPr="003079E4">
          <w:rPr>
            <w:rStyle w:val="Hyperlink"/>
            <w:sz w:val="22"/>
            <w:szCs w:val="22"/>
          </w:rPr>
          <w:t>http://www.oecd.org/tax/oecd-secretary-general-tax-report-g20-leaders-july-2017.pdf</w:t>
        </w:r>
      </w:hyperlink>
    </w:p>
  </w:footnote>
  <w:footnote w:id="154">
    <w:p w:rsidR="00D529C5" w:rsidRPr="002E54B9" w:rsidRDefault="00D529C5" w:rsidP="00AC4DFD">
      <w:pPr>
        <w:pStyle w:val="FootnoteText"/>
        <w:jc w:val="both"/>
        <w:rPr>
          <w:rFonts w:hAnsi="Calibri"/>
          <w:sz w:val="22"/>
          <w:szCs w:val="22"/>
        </w:rPr>
      </w:pPr>
      <w:r w:rsidRPr="002E54B9">
        <w:rPr>
          <w:rStyle w:val="FootnoteReference"/>
          <w:rFonts w:hAnsi="Calibri"/>
          <w:sz w:val="22"/>
          <w:szCs w:val="22"/>
        </w:rPr>
        <w:footnoteRef/>
      </w:r>
      <w:r w:rsidRPr="002E54B9">
        <w:rPr>
          <w:rFonts w:hAnsi="Calibri"/>
          <w:sz w:val="22"/>
          <w:szCs w:val="22"/>
        </w:rPr>
        <w:t xml:space="preserve"> Resolución General AFIP N° 702/1999 B.O. 15/10/1999</w:t>
      </w:r>
      <w:r>
        <w:rPr>
          <w:rFonts w:hAnsi="Calibri"/>
          <w:sz w:val="22"/>
          <w:szCs w:val="22"/>
        </w:rPr>
        <w:t>.</w:t>
      </w:r>
      <w:r w:rsidRPr="002E54B9">
        <w:rPr>
          <w:rFonts w:hAnsi="Calibri"/>
          <w:sz w:val="22"/>
          <w:szCs w:val="22"/>
        </w:rPr>
        <w:t xml:space="preserve"> </w:t>
      </w:r>
      <w:r w:rsidRPr="00427182">
        <w:rPr>
          <w:rFonts w:hAnsi="Calibri" w:cs="Calibri"/>
          <w:sz w:val="22"/>
          <w:szCs w:val="22"/>
        </w:rPr>
        <w:t xml:space="preserve">Disponible en Base de Datos </w:t>
      </w:r>
      <w:r w:rsidRPr="00427182">
        <w:rPr>
          <w:rFonts w:hAnsi="Calibri" w:cs="Calibri"/>
          <w:i/>
          <w:sz w:val="22"/>
          <w:szCs w:val="22"/>
        </w:rPr>
        <w:t>AFIP Biblioteca Electrónica</w:t>
      </w:r>
      <w:r w:rsidRPr="00427182">
        <w:rPr>
          <w:rFonts w:hAnsi="Calibri" w:cs="Calibri"/>
          <w:sz w:val="22"/>
          <w:szCs w:val="22"/>
        </w:rPr>
        <w:t xml:space="preserve">. </w:t>
      </w:r>
      <w:r w:rsidRPr="002E54B9">
        <w:rPr>
          <w:rFonts w:hAnsi="Calibri"/>
          <w:sz w:val="22"/>
          <w:szCs w:val="22"/>
        </w:rPr>
        <w:t>[en línea]</w:t>
      </w:r>
    </w:p>
    <w:p w:rsidR="00D529C5" w:rsidRDefault="00D529C5" w:rsidP="00077065">
      <w:pPr>
        <w:spacing w:after="0" w:line="240" w:lineRule="auto"/>
        <w:jc w:val="both"/>
      </w:pPr>
      <w:hyperlink r:id="rId31" w:history="1">
        <w:r w:rsidRPr="002E54B9">
          <w:rPr>
            <w:rStyle w:val="Hyperlink"/>
            <w:rFonts w:hAnsi="Calibri" w:cs="Arial"/>
          </w:rPr>
          <w:t>http://biblioint.afip.gob.ar/dcp/REAG01000702_1999_10_12</w:t>
        </w:r>
      </w:hyperlink>
    </w:p>
  </w:footnote>
  <w:footnote w:id="155">
    <w:p w:rsidR="00D529C5" w:rsidRDefault="00D529C5" w:rsidP="00CA3594">
      <w:pPr>
        <w:pStyle w:val="FootnoteText"/>
        <w:jc w:val="both"/>
      </w:pPr>
      <w:r w:rsidRPr="00CA3594">
        <w:rPr>
          <w:rStyle w:val="FootnoteReference"/>
          <w:sz w:val="22"/>
          <w:szCs w:val="22"/>
        </w:rPr>
        <w:footnoteRef/>
      </w:r>
      <w:r w:rsidRPr="00CA3594">
        <w:rPr>
          <w:sz w:val="22"/>
          <w:szCs w:val="22"/>
        </w:rPr>
        <w:t xml:space="preserve"> </w:t>
      </w:r>
      <w:r w:rsidRPr="00CA3594">
        <w:rPr>
          <w:sz w:val="22"/>
          <w:szCs w:val="22"/>
          <w:lang w:val="es-ES"/>
        </w:rPr>
        <w:t>Decreto 1037</w:t>
      </w:r>
      <w:r>
        <w:rPr>
          <w:sz w:val="22"/>
          <w:szCs w:val="22"/>
          <w:lang w:val="es-ES"/>
        </w:rPr>
        <w:t>/2000;</w:t>
      </w:r>
      <w:r w:rsidRPr="00CA3594">
        <w:rPr>
          <w:sz w:val="22"/>
          <w:szCs w:val="22"/>
          <w:lang w:val="es-ES"/>
        </w:rPr>
        <w:t xml:space="preserve"> B.O. 14/11/2000.</w:t>
      </w:r>
      <w:r w:rsidRPr="00CA3594">
        <w:rPr>
          <w:rFonts w:hAnsi="Calibri" w:cs="Calibri"/>
          <w:sz w:val="22"/>
          <w:szCs w:val="22"/>
        </w:rPr>
        <w:t xml:space="preserve"> Disponible en Base de Datos </w:t>
      </w:r>
      <w:r w:rsidRPr="00CA3594">
        <w:rPr>
          <w:rFonts w:hAnsi="Calibri" w:cs="Calibri"/>
          <w:i/>
          <w:sz w:val="22"/>
          <w:szCs w:val="22"/>
        </w:rPr>
        <w:t>Infoleg –Información Legislativa.</w:t>
      </w:r>
    </w:p>
  </w:footnote>
  <w:footnote w:id="156">
    <w:p w:rsidR="00D529C5" w:rsidRDefault="00D529C5" w:rsidP="0077708A">
      <w:pPr>
        <w:pStyle w:val="FootnoteText"/>
        <w:jc w:val="both"/>
      </w:pPr>
      <w:r w:rsidRPr="0077708A">
        <w:rPr>
          <w:rStyle w:val="FootnoteReference"/>
          <w:sz w:val="22"/>
          <w:szCs w:val="22"/>
        </w:rPr>
        <w:footnoteRef/>
      </w:r>
      <w:r w:rsidRPr="0077708A">
        <w:rPr>
          <w:sz w:val="22"/>
          <w:szCs w:val="22"/>
        </w:rPr>
        <w:t xml:space="preserve"> </w:t>
      </w:r>
      <w:r w:rsidRPr="0077708A">
        <w:rPr>
          <w:rFonts w:hAnsi="Calibri"/>
          <w:sz w:val="22"/>
          <w:szCs w:val="22"/>
          <w:lang w:val="es-ES"/>
        </w:rPr>
        <w:t>Decreto 589/2013; B.O. 30/05/2013.</w:t>
      </w:r>
      <w:r w:rsidRPr="0077708A">
        <w:rPr>
          <w:rFonts w:hAnsi="Calibri" w:cs="Calibri"/>
          <w:sz w:val="22"/>
          <w:szCs w:val="22"/>
        </w:rPr>
        <w:t xml:space="preserve"> Disponible en Base de Datos </w:t>
      </w:r>
      <w:r w:rsidRPr="0077708A">
        <w:rPr>
          <w:rFonts w:hAnsi="Calibri" w:cs="Calibri"/>
          <w:i/>
          <w:sz w:val="22"/>
          <w:szCs w:val="22"/>
        </w:rPr>
        <w:t>Infoleg –Información Legislativa.</w:t>
      </w:r>
    </w:p>
  </w:footnote>
  <w:footnote w:id="157">
    <w:p w:rsidR="00D529C5" w:rsidRDefault="00D529C5" w:rsidP="0077708A">
      <w:pPr>
        <w:pStyle w:val="FootnoteText"/>
        <w:jc w:val="both"/>
      </w:pPr>
      <w:r w:rsidRPr="0077708A">
        <w:rPr>
          <w:rStyle w:val="FootnoteReference"/>
          <w:sz w:val="22"/>
          <w:szCs w:val="22"/>
        </w:rPr>
        <w:footnoteRef/>
      </w:r>
      <w:r w:rsidRPr="00DC422E">
        <w:rPr>
          <w:sz w:val="22"/>
          <w:szCs w:val="22"/>
          <w:lang w:val="en-US"/>
        </w:rPr>
        <w:t xml:space="preserve"> </w:t>
      </w:r>
      <w:r w:rsidRPr="00DC422E">
        <w:rPr>
          <w:rFonts w:hAnsi="Calibri" w:cs="Calibri"/>
          <w:sz w:val="22"/>
          <w:szCs w:val="22"/>
          <w:lang w:val="en-US"/>
        </w:rPr>
        <w:t>Ob. cit. Nota 155</w:t>
      </w:r>
      <w:r w:rsidRPr="00DC422E">
        <w:rPr>
          <w:rFonts w:hAnsi="Calibri" w:cs="Calibri"/>
          <w:i/>
          <w:sz w:val="22"/>
          <w:szCs w:val="22"/>
          <w:lang w:val="en-US"/>
        </w:rPr>
        <w:t xml:space="preserve"> </w:t>
      </w:r>
      <w:r w:rsidRPr="00DC422E">
        <w:rPr>
          <w:rFonts w:hAnsi="Calibri" w:cs="Calibri"/>
          <w:sz w:val="22"/>
          <w:szCs w:val="22"/>
          <w:lang w:val="en-US"/>
        </w:rPr>
        <w:t>art 1 pár 5.</w:t>
      </w:r>
    </w:p>
  </w:footnote>
  <w:footnote w:id="158">
    <w:p w:rsidR="00D529C5" w:rsidRDefault="00D529C5" w:rsidP="005D42AD">
      <w:pPr>
        <w:pStyle w:val="FootnoteText"/>
        <w:jc w:val="both"/>
      </w:pPr>
      <w:r w:rsidRPr="005D42AD">
        <w:rPr>
          <w:rStyle w:val="FootnoteReference"/>
          <w:rFonts w:hAnsi="Calibri" w:cs="Calibri"/>
          <w:sz w:val="22"/>
          <w:szCs w:val="22"/>
        </w:rPr>
        <w:footnoteRef/>
      </w:r>
      <w:r w:rsidRPr="005D42AD">
        <w:rPr>
          <w:rFonts w:hAnsi="Calibri" w:cs="Calibri"/>
          <w:sz w:val="22"/>
          <w:szCs w:val="22"/>
        </w:rPr>
        <w:t xml:space="preserve"> SCHINDEL, Angel “Cuestiones metodológicas en el derecho tributario” en “</w:t>
      </w:r>
      <w:r w:rsidRPr="005D42AD">
        <w:rPr>
          <w:rFonts w:hAnsi="Calibri" w:cs="Calibri"/>
          <w:i/>
          <w:iCs/>
          <w:sz w:val="22"/>
          <w:szCs w:val="22"/>
        </w:rPr>
        <w:t>Homenaje al 50º aniversario de El hecho imponible</w:t>
      </w:r>
      <w:r w:rsidRPr="005D42AD">
        <w:rPr>
          <w:rFonts w:hAnsi="Calibri" w:cs="Calibri"/>
          <w:sz w:val="22"/>
          <w:szCs w:val="22"/>
        </w:rPr>
        <w:t xml:space="preserve"> </w:t>
      </w:r>
      <w:r w:rsidRPr="005D42AD">
        <w:rPr>
          <w:rFonts w:hAnsi="Calibri" w:cs="Calibri"/>
          <w:i/>
          <w:iCs/>
          <w:sz w:val="22"/>
          <w:szCs w:val="22"/>
        </w:rPr>
        <w:t>de Dino Jarach”</w:t>
      </w:r>
      <w:r w:rsidRPr="005D42AD">
        <w:rPr>
          <w:rFonts w:hAnsi="Calibri" w:cs="Calibri"/>
          <w:sz w:val="22"/>
          <w:szCs w:val="22"/>
        </w:rPr>
        <w:t>; Asociación Argentina de Estudios Fiscales; Ediciones Interoceánicas, Buenos Aries, 1993, p. 176.</w:t>
      </w:r>
    </w:p>
  </w:footnote>
  <w:footnote w:id="159">
    <w:p w:rsidR="00D529C5" w:rsidRPr="005D42AD" w:rsidRDefault="00D529C5" w:rsidP="005D42AD">
      <w:pPr>
        <w:pStyle w:val="FootnoteText"/>
        <w:jc w:val="both"/>
        <w:rPr>
          <w:rFonts w:hAnsi="Calibri" w:cs="Calibri"/>
          <w:sz w:val="22"/>
          <w:szCs w:val="22"/>
        </w:rPr>
      </w:pPr>
      <w:r w:rsidRPr="005D42AD">
        <w:rPr>
          <w:rStyle w:val="FootnoteReference"/>
          <w:rFonts w:hAnsi="Calibri" w:cs="Calibri"/>
          <w:sz w:val="22"/>
          <w:szCs w:val="22"/>
        </w:rPr>
        <w:footnoteRef/>
      </w:r>
      <w:r w:rsidRPr="005D42AD">
        <w:rPr>
          <w:rFonts w:hAnsi="Calibri" w:cs="Calibri"/>
          <w:sz w:val="22"/>
          <w:szCs w:val="22"/>
        </w:rPr>
        <w:t xml:space="preserve"> Corte Suprema de Justicia de la Nación</w:t>
      </w:r>
      <w:r>
        <w:rPr>
          <w:rFonts w:hAnsi="Calibri" w:cs="Calibri"/>
          <w:sz w:val="22"/>
          <w:szCs w:val="22"/>
        </w:rPr>
        <w:t xml:space="preserve"> in re </w:t>
      </w:r>
      <w:r w:rsidRPr="002353C6">
        <w:rPr>
          <w:rFonts w:hAnsi="Calibri" w:cs="Calibri"/>
          <w:i/>
          <w:sz w:val="22"/>
          <w:szCs w:val="22"/>
        </w:rPr>
        <w:t>“María F.F. de Salmon”</w:t>
      </w:r>
      <w:r>
        <w:rPr>
          <w:rFonts w:hAnsi="Calibri" w:cs="Calibri"/>
          <w:sz w:val="22"/>
          <w:szCs w:val="22"/>
        </w:rPr>
        <w:t xml:space="preserve">, fallo del </w:t>
      </w:r>
      <w:r w:rsidRPr="005D42AD">
        <w:rPr>
          <w:rFonts w:hAnsi="Calibri" w:cs="Calibri"/>
          <w:sz w:val="22"/>
          <w:szCs w:val="22"/>
        </w:rPr>
        <w:t>30</w:t>
      </w:r>
      <w:r>
        <w:rPr>
          <w:rFonts w:hAnsi="Calibri" w:cs="Calibri"/>
          <w:sz w:val="22"/>
          <w:szCs w:val="22"/>
        </w:rPr>
        <w:t xml:space="preserve"> de julio de </w:t>
      </w:r>
      <w:r w:rsidRPr="005D42AD">
        <w:rPr>
          <w:rFonts w:hAnsi="Calibri" w:cs="Calibri"/>
          <w:sz w:val="22"/>
          <w:szCs w:val="22"/>
        </w:rPr>
        <w:t xml:space="preserve">1997; </w:t>
      </w:r>
      <w:r>
        <w:rPr>
          <w:rFonts w:hAnsi="Calibri" w:cs="Calibri"/>
          <w:sz w:val="22"/>
          <w:szCs w:val="22"/>
        </w:rPr>
        <w:t xml:space="preserve">Disponible en </w:t>
      </w:r>
      <w:r w:rsidRPr="002353C6">
        <w:rPr>
          <w:rFonts w:hAnsi="Calibri" w:cs="Calibri"/>
          <w:i/>
          <w:sz w:val="22"/>
          <w:szCs w:val="22"/>
        </w:rPr>
        <w:t>Tomos Colección “Fallos” 1863-2017</w:t>
      </w:r>
      <w:r w:rsidRPr="005D42AD">
        <w:rPr>
          <w:rFonts w:hAnsi="Calibri" w:cs="Calibri"/>
          <w:sz w:val="22"/>
          <w:szCs w:val="22"/>
        </w:rPr>
        <w:t xml:space="preserve"> (1 a 340) [en línea]</w:t>
      </w:r>
    </w:p>
    <w:p w:rsidR="00D529C5" w:rsidRDefault="00D529C5" w:rsidP="005D42AD">
      <w:pPr>
        <w:pStyle w:val="FootnoteText"/>
        <w:jc w:val="both"/>
      </w:pPr>
      <w:hyperlink r:id="rId32" w:history="1">
        <w:r w:rsidRPr="005D42AD">
          <w:rPr>
            <w:rStyle w:val="Hyperlink"/>
            <w:rFonts w:hAnsi="Calibri" w:cs="Calibri"/>
            <w:sz w:val="22"/>
            <w:szCs w:val="22"/>
          </w:rPr>
          <w:t>https://sj.csjn.gov.ar/sj/tomosFallos.do?method=siguiente</w:t>
        </w:r>
      </w:hyperlink>
    </w:p>
  </w:footnote>
  <w:footnote w:id="160">
    <w:p w:rsidR="00D529C5" w:rsidRPr="005D42AD" w:rsidRDefault="00D529C5" w:rsidP="005D42AD">
      <w:pPr>
        <w:spacing w:after="0" w:line="240" w:lineRule="auto"/>
        <w:jc w:val="both"/>
        <w:rPr>
          <w:rFonts w:hAnsi="Calibri" w:cs="Helvetica"/>
          <w:color w:val="000000"/>
        </w:rPr>
      </w:pPr>
      <w:r w:rsidRPr="005D42AD">
        <w:rPr>
          <w:rStyle w:val="FootnoteReference"/>
          <w:rFonts w:hAnsi="Calibri"/>
        </w:rPr>
        <w:footnoteRef/>
      </w:r>
      <w:r w:rsidRPr="005D42AD">
        <w:rPr>
          <w:rFonts w:hAnsi="Calibri"/>
        </w:rPr>
        <w:t xml:space="preserve"> </w:t>
      </w:r>
      <w:r w:rsidRPr="006C7959">
        <w:rPr>
          <w:rFonts w:hAnsi="Calibri" w:cs="Helvetica"/>
          <w:iCs/>
          <w:color w:val="000000"/>
          <w:lang w:val="es-ES"/>
        </w:rPr>
        <w:t>SCHINDEL, Ángel;</w:t>
      </w:r>
      <w:r>
        <w:rPr>
          <w:rFonts w:hAnsi="Calibri" w:cs="Helvetica"/>
          <w:i/>
          <w:iCs/>
          <w:color w:val="000000"/>
          <w:lang w:val="es-ES"/>
        </w:rPr>
        <w:t xml:space="preserve"> </w:t>
      </w:r>
      <w:r w:rsidRPr="005D42AD">
        <w:rPr>
          <w:rFonts w:hAnsi="Calibri" w:cs="Helvetica"/>
          <w:i/>
          <w:iCs/>
          <w:color w:val="000000"/>
        </w:rPr>
        <w:t>"</w:t>
      </w:r>
      <w:r w:rsidRPr="005D42AD">
        <w:rPr>
          <w:rFonts w:hAnsi="Calibri" w:cs="Helvetica"/>
          <w:i/>
          <w:iCs/>
          <w:color w:val="000000"/>
          <w:lang w:val="es-ES"/>
        </w:rPr>
        <w:t xml:space="preserve">Contribuciones: Principios Constitucionales </w:t>
      </w:r>
      <w:r>
        <w:rPr>
          <w:rFonts w:hAnsi="Calibri" w:cs="Helvetica"/>
          <w:i/>
          <w:iCs/>
          <w:color w:val="000000"/>
          <w:lang w:val="es-ES"/>
        </w:rPr>
        <w:t>de la</w:t>
      </w:r>
      <w:r w:rsidRPr="005D42AD">
        <w:rPr>
          <w:rFonts w:hAnsi="Calibri" w:cs="Helvetica"/>
          <w:i/>
          <w:iCs/>
          <w:color w:val="000000"/>
          <w:lang w:val="es-ES"/>
        </w:rPr>
        <w:t xml:space="preserve"> Tributación</w:t>
      </w:r>
      <w:r>
        <w:rPr>
          <w:rFonts w:hAnsi="Calibri" w:cs="Helvetica"/>
          <w:i/>
          <w:iCs/>
          <w:color w:val="000000"/>
          <w:lang w:val="es-ES"/>
        </w:rPr>
        <w:t xml:space="preserve">” </w:t>
      </w:r>
      <w:r w:rsidRPr="005D42AD">
        <w:rPr>
          <w:rFonts w:hAnsi="Calibri" w:cs="Helvetica"/>
          <w:color w:val="000000"/>
          <w:lang w:val="es-ES"/>
        </w:rPr>
        <w:t xml:space="preserve">a la obra </w:t>
      </w:r>
      <w:r w:rsidRPr="006C7959">
        <w:rPr>
          <w:rFonts w:hAnsi="Calibri" w:cs="Helvetica"/>
          <w:i/>
          <w:color w:val="000000"/>
          <w:lang w:val="es-ES"/>
        </w:rPr>
        <w:t>“Constitución de la Nación Argentina y normas complementarias. Análisis doctrinal y jurisprudencial”;</w:t>
      </w:r>
      <w:r>
        <w:rPr>
          <w:rFonts w:hAnsi="Calibri" w:cs="Helvetica"/>
          <w:color w:val="000000"/>
          <w:lang w:val="es-ES"/>
        </w:rPr>
        <w:t xml:space="preserve"> Dirección: </w:t>
      </w:r>
      <w:r w:rsidRPr="005D42AD">
        <w:rPr>
          <w:rFonts w:hAnsi="Calibri" w:cs="Helvetica"/>
          <w:color w:val="000000"/>
          <w:lang w:val="es-ES"/>
        </w:rPr>
        <w:t>Dr. Daniel A.</w:t>
      </w:r>
      <w:r>
        <w:rPr>
          <w:rFonts w:hAnsi="Calibri" w:cs="Helvetica"/>
          <w:color w:val="000000"/>
          <w:lang w:val="es-ES"/>
        </w:rPr>
        <w:t xml:space="preserve"> </w:t>
      </w:r>
      <w:r w:rsidRPr="005D42AD">
        <w:rPr>
          <w:rFonts w:hAnsi="Calibri" w:cs="Helvetica"/>
          <w:color w:val="000000"/>
          <w:lang w:val="es-ES"/>
        </w:rPr>
        <w:t>Sabsay, Coordinación: Dr.</w:t>
      </w:r>
      <w:r>
        <w:rPr>
          <w:rFonts w:hAnsi="Calibri" w:cs="Helvetica"/>
          <w:color w:val="000000"/>
          <w:lang w:val="es-ES"/>
        </w:rPr>
        <w:t xml:space="preserve"> </w:t>
      </w:r>
      <w:r w:rsidRPr="005D42AD">
        <w:rPr>
          <w:rFonts w:hAnsi="Calibri" w:cs="Helvetica"/>
          <w:color w:val="000000"/>
          <w:lang w:val="es-ES"/>
        </w:rPr>
        <w:t>Pablo Luis Manili;</w:t>
      </w:r>
      <w:r>
        <w:rPr>
          <w:rFonts w:hAnsi="Calibri" w:cs="Helvetica"/>
          <w:color w:val="000000"/>
          <w:lang w:val="es-ES"/>
        </w:rPr>
        <w:t xml:space="preserve"> </w:t>
      </w:r>
      <w:r w:rsidRPr="005D42AD">
        <w:rPr>
          <w:rFonts w:hAnsi="Calibri" w:cs="Helvetica"/>
          <w:color w:val="000000"/>
          <w:lang w:val="es-ES"/>
        </w:rPr>
        <w:t>Hammurabi; José Luis Depalma – Editor; Tomo 1, Buenos Aires, 2009, p. 705 y ss.</w:t>
      </w:r>
    </w:p>
    <w:p w:rsidR="00D529C5" w:rsidRDefault="00D529C5" w:rsidP="005D42AD">
      <w:pPr>
        <w:spacing w:after="0" w:line="240" w:lineRule="auto"/>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5EC"/>
    <w:multiLevelType w:val="hybridMultilevel"/>
    <w:tmpl w:val="F4144442"/>
    <w:lvl w:ilvl="0" w:tplc="1068CBC6">
      <w:start w:val="1"/>
      <w:numFmt w:val="upp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03B4406C"/>
    <w:multiLevelType w:val="hybridMultilevel"/>
    <w:tmpl w:val="A778537A"/>
    <w:lvl w:ilvl="0" w:tplc="0C0A0001">
      <w:numFmt w:val="bullet"/>
      <w:lvlText w:val=""/>
      <w:lvlJc w:val="left"/>
      <w:pPr>
        <w:tabs>
          <w:tab w:val="num" w:pos="720"/>
        </w:tabs>
        <w:ind w:left="720" w:hanging="360"/>
      </w:pPr>
      <w:rPr>
        <w:rFonts w:ascii="Symbol" w:eastAsia="Times New Roman"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5A77549"/>
    <w:multiLevelType w:val="hybridMultilevel"/>
    <w:tmpl w:val="923A36FC"/>
    <w:lvl w:ilvl="0" w:tplc="BB702C34">
      <w:start w:val="1"/>
      <w:numFmt w:val="bullet"/>
      <w:lvlText w:val=""/>
      <w:lvlJc w:val="left"/>
      <w:pPr>
        <w:tabs>
          <w:tab w:val="num" w:pos="720"/>
        </w:tabs>
        <w:ind w:left="720" w:hanging="360"/>
      </w:pPr>
      <w:rPr>
        <w:rFonts w:ascii="Wingdings" w:hAnsi="Wingdings" w:hint="default"/>
      </w:rPr>
    </w:lvl>
    <w:lvl w:ilvl="1" w:tplc="272074B8" w:tentative="1">
      <w:start w:val="1"/>
      <w:numFmt w:val="bullet"/>
      <w:lvlText w:val=""/>
      <w:lvlJc w:val="left"/>
      <w:pPr>
        <w:tabs>
          <w:tab w:val="num" w:pos="1440"/>
        </w:tabs>
        <w:ind w:left="1440" w:hanging="360"/>
      </w:pPr>
      <w:rPr>
        <w:rFonts w:ascii="Wingdings" w:hAnsi="Wingdings" w:hint="default"/>
      </w:rPr>
    </w:lvl>
    <w:lvl w:ilvl="2" w:tplc="191A5C7A" w:tentative="1">
      <w:start w:val="1"/>
      <w:numFmt w:val="bullet"/>
      <w:lvlText w:val=""/>
      <w:lvlJc w:val="left"/>
      <w:pPr>
        <w:tabs>
          <w:tab w:val="num" w:pos="2160"/>
        </w:tabs>
        <w:ind w:left="2160" w:hanging="360"/>
      </w:pPr>
      <w:rPr>
        <w:rFonts w:ascii="Wingdings" w:hAnsi="Wingdings" w:hint="default"/>
      </w:rPr>
    </w:lvl>
    <w:lvl w:ilvl="3" w:tplc="31502640" w:tentative="1">
      <w:start w:val="1"/>
      <w:numFmt w:val="bullet"/>
      <w:lvlText w:val=""/>
      <w:lvlJc w:val="left"/>
      <w:pPr>
        <w:tabs>
          <w:tab w:val="num" w:pos="2880"/>
        </w:tabs>
        <w:ind w:left="2880" w:hanging="360"/>
      </w:pPr>
      <w:rPr>
        <w:rFonts w:ascii="Wingdings" w:hAnsi="Wingdings" w:hint="default"/>
      </w:rPr>
    </w:lvl>
    <w:lvl w:ilvl="4" w:tplc="BDD645FE" w:tentative="1">
      <w:start w:val="1"/>
      <w:numFmt w:val="bullet"/>
      <w:lvlText w:val=""/>
      <w:lvlJc w:val="left"/>
      <w:pPr>
        <w:tabs>
          <w:tab w:val="num" w:pos="3600"/>
        </w:tabs>
        <w:ind w:left="3600" w:hanging="360"/>
      </w:pPr>
      <w:rPr>
        <w:rFonts w:ascii="Wingdings" w:hAnsi="Wingdings" w:hint="default"/>
      </w:rPr>
    </w:lvl>
    <w:lvl w:ilvl="5" w:tplc="6CC8A4EE" w:tentative="1">
      <w:start w:val="1"/>
      <w:numFmt w:val="bullet"/>
      <w:lvlText w:val=""/>
      <w:lvlJc w:val="left"/>
      <w:pPr>
        <w:tabs>
          <w:tab w:val="num" w:pos="4320"/>
        </w:tabs>
        <w:ind w:left="4320" w:hanging="360"/>
      </w:pPr>
      <w:rPr>
        <w:rFonts w:ascii="Wingdings" w:hAnsi="Wingdings" w:hint="default"/>
      </w:rPr>
    </w:lvl>
    <w:lvl w:ilvl="6" w:tplc="BD98030E" w:tentative="1">
      <w:start w:val="1"/>
      <w:numFmt w:val="bullet"/>
      <w:lvlText w:val=""/>
      <w:lvlJc w:val="left"/>
      <w:pPr>
        <w:tabs>
          <w:tab w:val="num" w:pos="5040"/>
        </w:tabs>
        <w:ind w:left="5040" w:hanging="360"/>
      </w:pPr>
      <w:rPr>
        <w:rFonts w:ascii="Wingdings" w:hAnsi="Wingdings" w:hint="default"/>
      </w:rPr>
    </w:lvl>
    <w:lvl w:ilvl="7" w:tplc="9030F904" w:tentative="1">
      <w:start w:val="1"/>
      <w:numFmt w:val="bullet"/>
      <w:lvlText w:val=""/>
      <w:lvlJc w:val="left"/>
      <w:pPr>
        <w:tabs>
          <w:tab w:val="num" w:pos="5760"/>
        </w:tabs>
        <w:ind w:left="5760" w:hanging="360"/>
      </w:pPr>
      <w:rPr>
        <w:rFonts w:ascii="Wingdings" w:hAnsi="Wingdings" w:hint="default"/>
      </w:rPr>
    </w:lvl>
    <w:lvl w:ilvl="8" w:tplc="BC8A74A4" w:tentative="1">
      <w:start w:val="1"/>
      <w:numFmt w:val="bullet"/>
      <w:lvlText w:val=""/>
      <w:lvlJc w:val="left"/>
      <w:pPr>
        <w:tabs>
          <w:tab w:val="num" w:pos="6480"/>
        </w:tabs>
        <w:ind w:left="6480" w:hanging="360"/>
      </w:pPr>
      <w:rPr>
        <w:rFonts w:ascii="Wingdings" w:hAnsi="Wingdings" w:hint="default"/>
      </w:rPr>
    </w:lvl>
  </w:abstractNum>
  <w:abstractNum w:abstractNumId="3">
    <w:nsid w:val="0EEB097D"/>
    <w:multiLevelType w:val="hybridMultilevel"/>
    <w:tmpl w:val="54A49BD8"/>
    <w:lvl w:ilvl="0" w:tplc="2A045076">
      <w:start w:val="1"/>
      <w:numFmt w:val="bullet"/>
      <w:lvlText w:val=""/>
      <w:lvlJc w:val="left"/>
      <w:pPr>
        <w:tabs>
          <w:tab w:val="num" w:pos="720"/>
        </w:tabs>
        <w:ind w:left="720" w:hanging="360"/>
      </w:pPr>
      <w:rPr>
        <w:rFonts w:ascii="Wingdings" w:hAnsi="Wingdings" w:hint="default"/>
      </w:rPr>
    </w:lvl>
    <w:lvl w:ilvl="1" w:tplc="1380656E">
      <w:start w:val="1"/>
      <w:numFmt w:val="bullet"/>
      <w:lvlText w:val=""/>
      <w:lvlJc w:val="left"/>
      <w:pPr>
        <w:tabs>
          <w:tab w:val="num" w:pos="1440"/>
        </w:tabs>
        <w:ind w:left="1440" w:hanging="360"/>
      </w:pPr>
      <w:rPr>
        <w:rFonts w:ascii="Wingdings" w:hAnsi="Wingdings" w:hint="default"/>
      </w:rPr>
    </w:lvl>
    <w:lvl w:ilvl="2" w:tplc="B6D6D60E" w:tentative="1">
      <w:start w:val="1"/>
      <w:numFmt w:val="bullet"/>
      <w:lvlText w:val=""/>
      <w:lvlJc w:val="left"/>
      <w:pPr>
        <w:tabs>
          <w:tab w:val="num" w:pos="2160"/>
        </w:tabs>
        <w:ind w:left="2160" w:hanging="360"/>
      </w:pPr>
      <w:rPr>
        <w:rFonts w:ascii="Wingdings" w:hAnsi="Wingdings" w:hint="default"/>
      </w:rPr>
    </w:lvl>
    <w:lvl w:ilvl="3" w:tplc="6C6004FC" w:tentative="1">
      <w:start w:val="1"/>
      <w:numFmt w:val="bullet"/>
      <w:lvlText w:val=""/>
      <w:lvlJc w:val="left"/>
      <w:pPr>
        <w:tabs>
          <w:tab w:val="num" w:pos="2880"/>
        </w:tabs>
        <w:ind w:left="2880" w:hanging="360"/>
      </w:pPr>
      <w:rPr>
        <w:rFonts w:ascii="Wingdings" w:hAnsi="Wingdings" w:hint="default"/>
      </w:rPr>
    </w:lvl>
    <w:lvl w:ilvl="4" w:tplc="A7A87324" w:tentative="1">
      <w:start w:val="1"/>
      <w:numFmt w:val="bullet"/>
      <w:lvlText w:val=""/>
      <w:lvlJc w:val="left"/>
      <w:pPr>
        <w:tabs>
          <w:tab w:val="num" w:pos="3600"/>
        </w:tabs>
        <w:ind w:left="3600" w:hanging="360"/>
      </w:pPr>
      <w:rPr>
        <w:rFonts w:ascii="Wingdings" w:hAnsi="Wingdings" w:hint="default"/>
      </w:rPr>
    </w:lvl>
    <w:lvl w:ilvl="5" w:tplc="97E829D2" w:tentative="1">
      <w:start w:val="1"/>
      <w:numFmt w:val="bullet"/>
      <w:lvlText w:val=""/>
      <w:lvlJc w:val="left"/>
      <w:pPr>
        <w:tabs>
          <w:tab w:val="num" w:pos="4320"/>
        </w:tabs>
        <w:ind w:left="4320" w:hanging="360"/>
      </w:pPr>
      <w:rPr>
        <w:rFonts w:ascii="Wingdings" w:hAnsi="Wingdings" w:hint="default"/>
      </w:rPr>
    </w:lvl>
    <w:lvl w:ilvl="6" w:tplc="A9E8CC9E" w:tentative="1">
      <w:start w:val="1"/>
      <w:numFmt w:val="bullet"/>
      <w:lvlText w:val=""/>
      <w:lvlJc w:val="left"/>
      <w:pPr>
        <w:tabs>
          <w:tab w:val="num" w:pos="5040"/>
        </w:tabs>
        <w:ind w:left="5040" w:hanging="360"/>
      </w:pPr>
      <w:rPr>
        <w:rFonts w:ascii="Wingdings" w:hAnsi="Wingdings" w:hint="default"/>
      </w:rPr>
    </w:lvl>
    <w:lvl w:ilvl="7" w:tplc="3FB6A652" w:tentative="1">
      <w:start w:val="1"/>
      <w:numFmt w:val="bullet"/>
      <w:lvlText w:val=""/>
      <w:lvlJc w:val="left"/>
      <w:pPr>
        <w:tabs>
          <w:tab w:val="num" w:pos="5760"/>
        </w:tabs>
        <w:ind w:left="5760" w:hanging="360"/>
      </w:pPr>
      <w:rPr>
        <w:rFonts w:ascii="Wingdings" w:hAnsi="Wingdings" w:hint="default"/>
      </w:rPr>
    </w:lvl>
    <w:lvl w:ilvl="8" w:tplc="0BDE918C" w:tentative="1">
      <w:start w:val="1"/>
      <w:numFmt w:val="bullet"/>
      <w:lvlText w:val=""/>
      <w:lvlJc w:val="left"/>
      <w:pPr>
        <w:tabs>
          <w:tab w:val="num" w:pos="6480"/>
        </w:tabs>
        <w:ind w:left="6480" w:hanging="360"/>
      </w:pPr>
      <w:rPr>
        <w:rFonts w:ascii="Wingdings" w:hAnsi="Wingdings" w:hint="default"/>
      </w:rPr>
    </w:lvl>
  </w:abstractNum>
  <w:abstractNum w:abstractNumId="4">
    <w:nsid w:val="11C73A48"/>
    <w:multiLevelType w:val="hybridMultilevel"/>
    <w:tmpl w:val="009E27E6"/>
    <w:lvl w:ilvl="0" w:tplc="2C0A0015">
      <w:start w:val="1"/>
      <w:numFmt w:val="upp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nsid w:val="13543ADD"/>
    <w:multiLevelType w:val="hybridMultilevel"/>
    <w:tmpl w:val="79808260"/>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nsid w:val="136F333A"/>
    <w:multiLevelType w:val="hybridMultilevel"/>
    <w:tmpl w:val="C2389A5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44A7C7E"/>
    <w:multiLevelType w:val="hybridMultilevel"/>
    <w:tmpl w:val="A0C077B8"/>
    <w:lvl w:ilvl="0" w:tplc="464E859E">
      <w:start w:val="1"/>
      <w:numFmt w:val="bullet"/>
      <w:lvlText w:val=""/>
      <w:lvlJc w:val="left"/>
      <w:pPr>
        <w:tabs>
          <w:tab w:val="num" w:pos="720"/>
        </w:tabs>
        <w:ind w:left="720" w:hanging="360"/>
      </w:pPr>
      <w:rPr>
        <w:rFonts w:ascii="Symbol" w:hAnsi="Symbol" w:hint="default"/>
      </w:rPr>
    </w:lvl>
    <w:lvl w:ilvl="1" w:tplc="834EC646" w:tentative="1">
      <w:start w:val="1"/>
      <w:numFmt w:val="bullet"/>
      <w:lvlText w:val=""/>
      <w:lvlJc w:val="left"/>
      <w:pPr>
        <w:tabs>
          <w:tab w:val="num" w:pos="1440"/>
        </w:tabs>
        <w:ind w:left="1440" w:hanging="360"/>
      </w:pPr>
      <w:rPr>
        <w:rFonts w:ascii="Symbol" w:hAnsi="Symbol" w:hint="default"/>
      </w:rPr>
    </w:lvl>
    <w:lvl w:ilvl="2" w:tplc="269A24B4" w:tentative="1">
      <w:start w:val="1"/>
      <w:numFmt w:val="bullet"/>
      <w:lvlText w:val=""/>
      <w:lvlJc w:val="left"/>
      <w:pPr>
        <w:tabs>
          <w:tab w:val="num" w:pos="2160"/>
        </w:tabs>
        <w:ind w:left="2160" w:hanging="360"/>
      </w:pPr>
      <w:rPr>
        <w:rFonts w:ascii="Symbol" w:hAnsi="Symbol" w:hint="default"/>
      </w:rPr>
    </w:lvl>
    <w:lvl w:ilvl="3" w:tplc="95F20614" w:tentative="1">
      <w:start w:val="1"/>
      <w:numFmt w:val="bullet"/>
      <w:lvlText w:val=""/>
      <w:lvlJc w:val="left"/>
      <w:pPr>
        <w:tabs>
          <w:tab w:val="num" w:pos="2880"/>
        </w:tabs>
        <w:ind w:left="2880" w:hanging="360"/>
      </w:pPr>
      <w:rPr>
        <w:rFonts w:ascii="Symbol" w:hAnsi="Symbol" w:hint="default"/>
      </w:rPr>
    </w:lvl>
    <w:lvl w:ilvl="4" w:tplc="83F4C488" w:tentative="1">
      <w:start w:val="1"/>
      <w:numFmt w:val="bullet"/>
      <w:lvlText w:val=""/>
      <w:lvlJc w:val="left"/>
      <w:pPr>
        <w:tabs>
          <w:tab w:val="num" w:pos="3600"/>
        </w:tabs>
        <w:ind w:left="3600" w:hanging="360"/>
      </w:pPr>
      <w:rPr>
        <w:rFonts w:ascii="Symbol" w:hAnsi="Symbol" w:hint="default"/>
      </w:rPr>
    </w:lvl>
    <w:lvl w:ilvl="5" w:tplc="2F2AD100" w:tentative="1">
      <w:start w:val="1"/>
      <w:numFmt w:val="bullet"/>
      <w:lvlText w:val=""/>
      <w:lvlJc w:val="left"/>
      <w:pPr>
        <w:tabs>
          <w:tab w:val="num" w:pos="4320"/>
        </w:tabs>
        <w:ind w:left="4320" w:hanging="360"/>
      </w:pPr>
      <w:rPr>
        <w:rFonts w:ascii="Symbol" w:hAnsi="Symbol" w:hint="default"/>
      </w:rPr>
    </w:lvl>
    <w:lvl w:ilvl="6" w:tplc="6C2A03D4" w:tentative="1">
      <w:start w:val="1"/>
      <w:numFmt w:val="bullet"/>
      <w:lvlText w:val=""/>
      <w:lvlJc w:val="left"/>
      <w:pPr>
        <w:tabs>
          <w:tab w:val="num" w:pos="5040"/>
        </w:tabs>
        <w:ind w:left="5040" w:hanging="360"/>
      </w:pPr>
      <w:rPr>
        <w:rFonts w:ascii="Symbol" w:hAnsi="Symbol" w:hint="default"/>
      </w:rPr>
    </w:lvl>
    <w:lvl w:ilvl="7" w:tplc="4D24C884" w:tentative="1">
      <w:start w:val="1"/>
      <w:numFmt w:val="bullet"/>
      <w:lvlText w:val=""/>
      <w:lvlJc w:val="left"/>
      <w:pPr>
        <w:tabs>
          <w:tab w:val="num" w:pos="5760"/>
        </w:tabs>
        <w:ind w:left="5760" w:hanging="360"/>
      </w:pPr>
      <w:rPr>
        <w:rFonts w:ascii="Symbol" w:hAnsi="Symbol" w:hint="default"/>
      </w:rPr>
    </w:lvl>
    <w:lvl w:ilvl="8" w:tplc="1C44A420" w:tentative="1">
      <w:start w:val="1"/>
      <w:numFmt w:val="bullet"/>
      <w:lvlText w:val=""/>
      <w:lvlJc w:val="left"/>
      <w:pPr>
        <w:tabs>
          <w:tab w:val="num" w:pos="6480"/>
        </w:tabs>
        <w:ind w:left="6480" w:hanging="360"/>
      </w:pPr>
      <w:rPr>
        <w:rFonts w:ascii="Symbol" w:hAnsi="Symbol" w:hint="default"/>
      </w:rPr>
    </w:lvl>
  </w:abstractNum>
  <w:abstractNum w:abstractNumId="8">
    <w:nsid w:val="17925EE7"/>
    <w:multiLevelType w:val="hybridMultilevel"/>
    <w:tmpl w:val="4050CE66"/>
    <w:lvl w:ilvl="0" w:tplc="B7027000">
      <w:start w:val="1"/>
      <w:numFmt w:val="bullet"/>
      <w:lvlText w:val=""/>
      <w:lvlJc w:val="left"/>
      <w:pPr>
        <w:tabs>
          <w:tab w:val="num" w:pos="720"/>
        </w:tabs>
        <w:ind w:left="720" w:hanging="360"/>
      </w:pPr>
      <w:rPr>
        <w:rFonts w:ascii="Wingdings" w:hAnsi="Wingdings" w:hint="default"/>
      </w:rPr>
    </w:lvl>
    <w:lvl w:ilvl="1" w:tplc="25A21366">
      <w:start w:val="1351"/>
      <w:numFmt w:val="bullet"/>
      <w:lvlText w:val="•"/>
      <w:lvlJc w:val="left"/>
      <w:pPr>
        <w:tabs>
          <w:tab w:val="num" w:pos="1440"/>
        </w:tabs>
        <w:ind w:left="1440" w:hanging="360"/>
      </w:pPr>
      <w:rPr>
        <w:rFonts w:ascii="Times New Roman" w:hAnsi="Times New Roman" w:hint="default"/>
      </w:rPr>
    </w:lvl>
    <w:lvl w:ilvl="2" w:tplc="944EDAB2" w:tentative="1">
      <w:start w:val="1"/>
      <w:numFmt w:val="bullet"/>
      <w:lvlText w:val=""/>
      <w:lvlJc w:val="left"/>
      <w:pPr>
        <w:tabs>
          <w:tab w:val="num" w:pos="2160"/>
        </w:tabs>
        <w:ind w:left="2160" w:hanging="360"/>
      </w:pPr>
      <w:rPr>
        <w:rFonts w:ascii="Wingdings" w:hAnsi="Wingdings" w:hint="default"/>
      </w:rPr>
    </w:lvl>
    <w:lvl w:ilvl="3" w:tplc="83D63664" w:tentative="1">
      <w:start w:val="1"/>
      <w:numFmt w:val="bullet"/>
      <w:lvlText w:val=""/>
      <w:lvlJc w:val="left"/>
      <w:pPr>
        <w:tabs>
          <w:tab w:val="num" w:pos="2880"/>
        </w:tabs>
        <w:ind w:left="2880" w:hanging="360"/>
      </w:pPr>
      <w:rPr>
        <w:rFonts w:ascii="Wingdings" w:hAnsi="Wingdings" w:hint="default"/>
      </w:rPr>
    </w:lvl>
    <w:lvl w:ilvl="4" w:tplc="E6F282F8" w:tentative="1">
      <w:start w:val="1"/>
      <w:numFmt w:val="bullet"/>
      <w:lvlText w:val=""/>
      <w:lvlJc w:val="left"/>
      <w:pPr>
        <w:tabs>
          <w:tab w:val="num" w:pos="3600"/>
        </w:tabs>
        <w:ind w:left="3600" w:hanging="360"/>
      </w:pPr>
      <w:rPr>
        <w:rFonts w:ascii="Wingdings" w:hAnsi="Wingdings" w:hint="default"/>
      </w:rPr>
    </w:lvl>
    <w:lvl w:ilvl="5" w:tplc="F2AC65D0" w:tentative="1">
      <w:start w:val="1"/>
      <w:numFmt w:val="bullet"/>
      <w:lvlText w:val=""/>
      <w:lvlJc w:val="left"/>
      <w:pPr>
        <w:tabs>
          <w:tab w:val="num" w:pos="4320"/>
        </w:tabs>
        <w:ind w:left="4320" w:hanging="360"/>
      </w:pPr>
      <w:rPr>
        <w:rFonts w:ascii="Wingdings" w:hAnsi="Wingdings" w:hint="default"/>
      </w:rPr>
    </w:lvl>
    <w:lvl w:ilvl="6" w:tplc="67580A8C" w:tentative="1">
      <w:start w:val="1"/>
      <w:numFmt w:val="bullet"/>
      <w:lvlText w:val=""/>
      <w:lvlJc w:val="left"/>
      <w:pPr>
        <w:tabs>
          <w:tab w:val="num" w:pos="5040"/>
        </w:tabs>
        <w:ind w:left="5040" w:hanging="360"/>
      </w:pPr>
      <w:rPr>
        <w:rFonts w:ascii="Wingdings" w:hAnsi="Wingdings" w:hint="default"/>
      </w:rPr>
    </w:lvl>
    <w:lvl w:ilvl="7" w:tplc="E6A4D610" w:tentative="1">
      <w:start w:val="1"/>
      <w:numFmt w:val="bullet"/>
      <w:lvlText w:val=""/>
      <w:lvlJc w:val="left"/>
      <w:pPr>
        <w:tabs>
          <w:tab w:val="num" w:pos="5760"/>
        </w:tabs>
        <w:ind w:left="5760" w:hanging="360"/>
      </w:pPr>
      <w:rPr>
        <w:rFonts w:ascii="Wingdings" w:hAnsi="Wingdings" w:hint="default"/>
      </w:rPr>
    </w:lvl>
    <w:lvl w:ilvl="8" w:tplc="DF347BE8" w:tentative="1">
      <w:start w:val="1"/>
      <w:numFmt w:val="bullet"/>
      <w:lvlText w:val=""/>
      <w:lvlJc w:val="left"/>
      <w:pPr>
        <w:tabs>
          <w:tab w:val="num" w:pos="6480"/>
        </w:tabs>
        <w:ind w:left="6480" w:hanging="360"/>
      </w:pPr>
      <w:rPr>
        <w:rFonts w:ascii="Wingdings" w:hAnsi="Wingdings" w:hint="default"/>
      </w:rPr>
    </w:lvl>
  </w:abstractNum>
  <w:abstractNum w:abstractNumId="9">
    <w:nsid w:val="17DD3A77"/>
    <w:multiLevelType w:val="hybridMultilevel"/>
    <w:tmpl w:val="430C9B30"/>
    <w:lvl w:ilvl="0" w:tplc="F9909A0C">
      <w:start w:val="1"/>
      <w:numFmt w:val="bullet"/>
      <w:lvlText w:val=""/>
      <w:lvlJc w:val="left"/>
      <w:pPr>
        <w:tabs>
          <w:tab w:val="num" w:pos="720"/>
        </w:tabs>
        <w:ind w:left="720" w:hanging="360"/>
      </w:pPr>
      <w:rPr>
        <w:rFonts w:ascii="Wingdings" w:hAnsi="Wingdings" w:hint="default"/>
      </w:rPr>
    </w:lvl>
    <w:lvl w:ilvl="1" w:tplc="55226C36" w:tentative="1">
      <w:start w:val="1"/>
      <w:numFmt w:val="bullet"/>
      <w:lvlText w:val=""/>
      <w:lvlJc w:val="left"/>
      <w:pPr>
        <w:tabs>
          <w:tab w:val="num" w:pos="1440"/>
        </w:tabs>
        <w:ind w:left="1440" w:hanging="360"/>
      </w:pPr>
      <w:rPr>
        <w:rFonts w:ascii="Wingdings" w:hAnsi="Wingdings" w:hint="default"/>
      </w:rPr>
    </w:lvl>
    <w:lvl w:ilvl="2" w:tplc="EBE8C9A6" w:tentative="1">
      <w:start w:val="1"/>
      <w:numFmt w:val="bullet"/>
      <w:lvlText w:val=""/>
      <w:lvlJc w:val="left"/>
      <w:pPr>
        <w:tabs>
          <w:tab w:val="num" w:pos="2160"/>
        </w:tabs>
        <w:ind w:left="2160" w:hanging="360"/>
      </w:pPr>
      <w:rPr>
        <w:rFonts w:ascii="Wingdings" w:hAnsi="Wingdings" w:hint="default"/>
      </w:rPr>
    </w:lvl>
    <w:lvl w:ilvl="3" w:tplc="6A48DB4E" w:tentative="1">
      <w:start w:val="1"/>
      <w:numFmt w:val="bullet"/>
      <w:lvlText w:val=""/>
      <w:lvlJc w:val="left"/>
      <w:pPr>
        <w:tabs>
          <w:tab w:val="num" w:pos="2880"/>
        </w:tabs>
        <w:ind w:left="2880" w:hanging="360"/>
      </w:pPr>
      <w:rPr>
        <w:rFonts w:ascii="Wingdings" w:hAnsi="Wingdings" w:hint="default"/>
      </w:rPr>
    </w:lvl>
    <w:lvl w:ilvl="4" w:tplc="BF26CC2A" w:tentative="1">
      <w:start w:val="1"/>
      <w:numFmt w:val="bullet"/>
      <w:lvlText w:val=""/>
      <w:lvlJc w:val="left"/>
      <w:pPr>
        <w:tabs>
          <w:tab w:val="num" w:pos="3600"/>
        </w:tabs>
        <w:ind w:left="3600" w:hanging="360"/>
      </w:pPr>
      <w:rPr>
        <w:rFonts w:ascii="Wingdings" w:hAnsi="Wingdings" w:hint="default"/>
      </w:rPr>
    </w:lvl>
    <w:lvl w:ilvl="5" w:tplc="1EFAAE1E" w:tentative="1">
      <w:start w:val="1"/>
      <w:numFmt w:val="bullet"/>
      <w:lvlText w:val=""/>
      <w:lvlJc w:val="left"/>
      <w:pPr>
        <w:tabs>
          <w:tab w:val="num" w:pos="4320"/>
        </w:tabs>
        <w:ind w:left="4320" w:hanging="360"/>
      </w:pPr>
      <w:rPr>
        <w:rFonts w:ascii="Wingdings" w:hAnsi="Wingdings" w:hint="default"/>
      </w:rPr>
    </w:lvl>
    <w:lvl w:ilvl="6" w:tplc="2F1A72E8" w:tentative="1">
      <w:start w:val="1"/>
      <w:numFmt w:val="bullet"/>
      <w:lvlText w:val=""/>
      <w:lvlJc w:val="left"/>
      <w:pPr>
        <w:tabs>
          <w:tab w:val="num" w:pos="5040"/>
        </w:tabs>
        <w:ind w:left="5040" w:hanging="360"/>
      </w:pPr>
      <w:rPr>
        <w:rFonts w:ascii="Wingdings" w:hAnsi="Wingdings" w:hint="default"/>
      </w:rPr>
    </w:lvl>
    <w:lvl w:ilvl="7" w:tplc="C05AB2D8" w:tentative="1">
      <w:start w:val="1"/>
      <w:numFmt w:val="bullet"/>
      <w:lvlText w:val=""/>
      <w:lvlJc w:val="left"/>
      <w:pPr>
        <w:tabs>
          <w:tab w:val="num" w:pos="5760"/>
        </w:tabs>
        <w:ind w:left="5760" w:hanging="360"/>
      </w:pPr>
      <w:rPr>
        <w:rFonts w:ascii="Wingdings" w:hAnsi="Wingdings" w:hint="default"/>
      </w:rPr>
    </w:lvl>
    <w:lvl w:ilvl="8" w:tplc="9544F742" w:tentative="1">
      <w:start w:val="1"/>
      <w:numFmt w:val="bullet"/>
      <w:lvlText w:val=""/>
      <w:lvlJc w:val="left"/>
      <w:pPr>
        <w:tabs>
          <w:tab w:val="num" w:pos="6480"/>
        </w:tabs>
        <w:ind w:left="6480" w:hanging="360"/>
      </w:pPr>
      <w:rPr>
        <w:rFonts w:ascii="Wingdings" w:hAnsi="Wingdings" w:hint="default"/>
      </w:rPr>
    </w:lvl>
  </w:abstractNum>
  <w:abstractNum w:abstractNumId="10">
    <w:nsid w:val="18E421CD"/>
    <w:multiLevelType w:val="hybridMultilevel"/>
    <w:tmpl w:val="90768D32"/>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1">
    <w:nsid w:val="1B3D1B75"/>
    <w:multiLevelType w:val="hybridMultilevel"/>
    <w:tmpl w:val="3500CAC2"/>
    <w:lvl w:ilvl="0" w:tplc="2C0A0001">
      <w:start w:val="1"/>
      <w:numFmt w:val="bullet"/>
      <w:lvlText w:val=""/>
      <w:lvlJc w:val="left"/>
      <w:pPr>
        <w:ind w:left="770" w:hanging="360"/>
      </w:pPr>
      <w:rPr>
        <w:rFonts w:ascii="Symbol" w:hAnsi="Symbol" w:hint="default"/>
      </w:rPr>
    </w:lvl>
    <w:lvl w:ilvl="1" w:tplc="2C0A0003" w:tentative="1">
      <w:start w:val="1"/>
      <w:numFmt w:val="bullet"/>
      <w:lvlText w:val="o"/>
      <w:lvlJc w:val="left"/>
      <w:pPr>
        <w:ind w:left="1490" w:hanging="360"/>
      </w:pPr>
      <w:rPr>
        <w:rFonts w:ascii="Courier New" w:hAnsi="Courier New" w:hint="default"/>
      </w:rPr>
    </w:lvl>
    <w:lvl w:ilvl="2" w:tplc="2C0A0005" w:tentative="1">
      <w:start w:val="1"/>
      <w:numFmt w:val="bullet"/>
      <w:lvlText w:val=""/>
      <w:lvlJc w:val="left"/>
      <w:pPr>
        <w:ind w:left="2210" w:hanging="360"/>
      </w:pPr>
      <w:rPr>
        <w:rFonts w:ascii="Wingdings" w:hAnsi="Wingdings" w:hint="default"/>
      </w:rPr>
    </w:lvl>
    <w:lvl w:ilvl="3" w:tplc="2C0A0001" w:tentative="1">
      <w:start w:val="1"/>
      <w:numFmt w:val="bullet"/>
      <w:lvlText w:val=""/>
      <w:lvlJc w:val="left"/>
      <w:pPr>
        <w:ind w:left="2930" w:hanging="360"/>
      </w:pPr>
      <w:rPr>
        <w:rFonts w:ascii="Symbol" w:hAnsi="Symbol" w:hint="default"/>
      </w:rPr>
    </w:lvl>
    <w:lvl w:ilvl="4" w:tplc="2C0A0003" w:tentative="1">
      <w:start w:val="1"/>
      <w:numFmt w:val="bullet"/>
      <w:lvlText w:val="o"/>
      <w:lvlJc w:val="left"/>
      <w:pPr>
        <w:ind w:left="3650" w:hanging="360"/>
      </w:pPr>
      <w:rPr>
        <w:rFonts w:ascii="Courier New" w:hAnsi="Courier New" w:hint="default"/>
      </w:rPr>
    </w:lvl>
    <w:lvl w:ilvl="5" w:tplc="2C0A0005" w:tentative="1">
      <w:start w:val="1"/>
      <w:numFmt w:val="bullet"/>
      <w:lvlText w:val=""/>
      <w:lvlJc w:val="left"/>
      <w:pPr>
        <w:ind w:left="4370" w:hanging="360"/>
      </w:pPr>
      <w:rPr>
        <w:rFonts w:ascii="Wingdings" w:hAnsi="Wingdings" w:hint="default"/>
      </w:rPr>
    </w:lvl>
    <w:lvl w:ilvl="6" w:tplc="2C0A0001" w:tentative="1">
      <w:start w:val="1"/>
      <w:numFmt w:val="bullet"/>
      <w:lvlText w:val=""/>
      <w:lvlJc w:val="left"/>
      <w:pPr>
        <w:ind w:left="5090" w:hanging="360"/>
      </w:pPr>
      <w:rPr>
        <w:rFonts w:ascii="Symbol" w:hAnsi="Symbol" w:hint="default"/>
      </w:rPr>
    </w:lvl>
    <w:lvl w:ilvl="7" w:tplc="2C0A0003" w:tentative="1">
      <w:start w:val="1"/>
      <w:numFmt w:val="bullet"/>
      <w:lvlText w:val="o"/>
      <w:lvlJc w:val="left"/>
      <w:pPr>
        <w:ind w:left="5810" w:hanging="360"/>
      </w:pPr>
      <w:rPr>
        <w:rFonts w:ascii="Courier New" w:hAnsi="Courier New" w:hint="default"/>
      </w:rPr>
    </w:lvl>
    <w:lvl w:ilvl="8" w:tplc="2C0A0005" w:tentative="1">
      <w:start w:val="1"/>
      <w:numFmt w:val="bullet"/>
      <w:lvlText w:val=""/>
      <w:lvlJc w:val="left"/>
      <w:pPr>
        <w:ind w:left="6530" w:hanging="360"/>
      </w:pPr>
      <w:rPr>
        <w:rFonts w:ascii="Wingdings" w:hAnsi="Wingdings" w:hint="default"/>
      </w:rPr>
    </w:lvl>
  </w:abstractNum>
  <w:abstractNum w:abstractNumId="12">
    <w:nsid w:val="210327C8"/>
    <w:multiLevelType w:val="hybridMultilevel"/>
    <w:tmpl w:val="706A2A04"/>
    <w:lvl w:ilvl="0" w:tplc="2C0A0011">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nsid w:val="23C029EB"/>
    <w:multiLevelType w:val="hybridMultilevel"/>
    <w:tmpl w:val="AD508266"/>
    <w:lvl w:ilvl="0" w:tplc="075E1B8C">
      <w:start w:val="1"/>
      <w:numFmt w:val="bullet"/>
      <w:lvlText w:val=""/>
      <w:lvlJc w:val="left"/>
      <w:pPr>
        <w:tabs>
          <w:tab w:val="num" w:pos="720"/>
        </w:tabs>
        <w:ind w:left="720" w:hanging="360"/>
      </w:pPr>
      <w:rPr>
        <w:rFonts w:ascii="Wingdings" w:hAnsi="Wingdings" w:hint="default"/>
      </w:rPr>
    </w:lvl>
    <w:lvl w:ilvl="1" w:tplc="4D9E39B2">
      <w:start w:val="1"/>
      <w:numFmt w:val="bullet"/>
      <w:lvlText w:val=""/>
      <w:lvlJc w:val="left"/>
      <w:pPr>
        <w:tabs>
          <w:tab w:val="num" w:pos="1440"/>
        </w:tabs>
        <w:ind w:left="1440" w:hanging="360"/>
      </w:pPr>
      <w:rPr>
        <w:rFonts w:ascii="Wingdings" w:hAnsi="Wingdings" w:hint="default"/>
      </w:rPr>
    </w:lvl>
    <w:lvl w:ilvl="2" w:tplc="D122BBE2" w:tentative="1">
      <w:start w:val="1"/>
      <w:numFmt w:val="bullet"/>
      <w:lvlText w:val=""/>
      <w:lvlJc w:val="left"/>
      <w:pPr>
        <w:tabs>
          <w:tab w:val="num" w:pos="2160"/>
        </w:tabs>
        <w:ind w:left="2160" w:hanging="360"/>
      </w:pPr>
      <w:rPr>
        <w:rFonts w:ascii="Wingdings" w:hAnsi="Wingdings" w:hint="default"/>
      </w:rPr>
    </w:lvl>
    <w:lvl w:ilvl="3" w:tplc="58C01E28" w:tentative="1">
      <w:start w:val="1"/>
      <w:numFmt w:val="bullet"/>
      <w:lvlText w:val=""/>
      <w:lvlJc w:val="left"/>
      <w:pPr>
        <w:tabs>
          <w:tab w:val="num" w:pos="2880"/>
        </w:tabs>
        <w:ind w:left="2880" w:hanging="360"/>
      </w:pPr>
      <w:rPr>
        <w:rFonts w:ascii="Wingdings" w:hAnsi="Wingdings" w:hint="default"/>
      </w:rPr>
    </w:lvl>
    <w:lvl w:ilvl="4" w:tplc="252EA780" w:tentative="1">
      <w:start w:val="1"/>
      <w:numFmt w:val="bullet"/>
      <w:lvlText w:val=""/>
      <w:lvlJc w:val="left"/>
      <w:pPr>
        <w:tabs>
          <w:tab w:val="num" w:pos="3600"/>
        </w:tabs>
        <w:ind w:left="3600" w:hanging="360"/>
      </w:pPr>
      <w:rPr>
        <w:rFonts w:ascii="Wingdings" w:hAnsi="Wingdings" w:hint="default"/>
      </w:rPr>
    </w:lvl>
    <w:lvl w:ilvl="5" w:tplc="4AC6DF36" w:tentative="1">
      <w:start w:val="1"/>
      <w:numFmt w:val="bullet"/>
      <w:lvlText w:val=""/>
      <w:lvlJc w:val="left"/>
      <w:pPr>
        <w:tabs>
          <w:tab w:val="num" w:pos="4320"/>
        </w:tabs>
        <w:ind w:left="4320" w:hanging="360"/>
      </w:pPr>
      <w:rPr>
        <w:rFonts w:ascii="Wingdings" w:hAnsi="Wingdings" w:hint="default"/>
      </w:rPr>
    </w:lvl>
    <w:lvl w:ilvl="6" w:tplc="98AA3516" w:tentative="1">
      <w:start w:val="1"/>
      <w:numFmt w:val="bullet"/>
      <w:lvlText w:val=""/>
      <w:lvlJc w:val="left"/>
      <w:pPr>
        <w:tabs>
          <w:tab w:val="num" w:pos="5040"/>
        </w:tabs>
        <w:ind w:left="5040" w:hanging="360"/>
      </w:pPr>
      <w:rPr>
        <w:rFonts w:ascii="Wingdings" w:hAnsi="Wingdings" w:hint="default"/>
      </w:rPr>
    </w:lvl>
    <w:lvl w:ilvl="7" w:tplc="EE06136C" w:tentative="1">
      <w:start w:val="1"/>
      <w:numFmt w:val="bullet"/>
      <w:lvlText w:val=""/>
      <w:lvlJc w:val="left"/>
      <w:pPr>
        <w:tabs>
          <w:tab w:val="num" w:pos="5760"/>
        </w:tabs>
        <w:ind w:left="5760" w:hanging="360"/>
      </w:pPr>
      <w:rPr>
        <w:rFonts w:ascii="Wingdings" w:hAnsi="Wingdings" w:hint="default"/>
      </w:rPr>
    </w:lvl>
    <w:lvl w:ilvl="8" w:tplc="71CE8704" w:tentative="1">
      <w:start w:val="1"/>
      <w:numFmt w:val="bullet"/>
      <w:lvlText w:val=""/>
      <w:lvlJc w:val="left"/>
      <w:pPr>
        <w:tabs>
          <w:tab w:val="num" w:pos="6480"/>
        </w:tabs>
        <w:ind w:left="6480" w:hanging="360"/>
      </w:pPr>
      <w:rPr>
        <w:rFonts w:ascii="Wingdings" w:hAnsi="Wingdings" w:hint="default"/>
      </w:rPr>
    </w:lvl>
  </w:abstractNum>
  <w:abstractNum w:abstractNumId="14">
    <w:nsid w:val="273731B3"/>
    <w:multiLevelType w:val="hybridMultilevel"/>
    <w:tmpl w:val="D7F8DF04"/>
    <w:lvl w:ilvl="0" w:tplc="21A4169C">
      <w:start w:val="1"/>
      <w:numFmt w:val="bullet"/>
      <w:lvlText w:val=""/>
      <w:lvlJc w:val="left"/>
      <w:pPr>
        <w:tabs>
          <w:tab w:val="num" w:pos="720"/>
        </w:tabs>
        <w:ind w:left="720" w:hanging="360"/>
      </w:pPr>
      <w:rPr>
        <w:rFonts w:ascii="Wingdings" w:hAnsi="Wingdings" w:hint="default"/>
      </w:rPr>
    </w:lvl>
    <w:lvl w:ilvl="1" w:tplc="ACE45C72">
      <w:start w:val="1"/>
      <w:numFmt w:val="bullet"/>
      <w:lvlText w:val=""/>
      <w:lvlJc w:val="left"/>
      <w:pPr>
        <w:tabs>
          <w:tab w:val="num" w:pos="1440"/>
        </w:tabs>
        <w:ind w:left="1440" w:hanging="360"/>
      </w:pPr>
      <w:rPr>
        <w:rFonts w:ascii="Wingdings" w:hAnsi="Wingdings" w:hint="default"/>
      </w:rPr>
    </w:lvl>
    <w:lvl w:ilvl="2" w:tplc="DBB41320" w:tentative="1">
      <w:start w:val="1"/>
      <w:numFmt w:val="bullet"/>
      <w:lvlText w:val=""/>
      <w:lvlJc w:val="left"/>
      <w:pPr>
        <w:tabs>
          <w:tab w:val="num" w:pos="2160"/>
        </w:tabs>
        <w:ind w:left="2160" w:hanging="360"/>
      </w:pPr>
      <w:rPr>
        <w:rFonts w:ascii="Wingdings" w:hAnsi="Wingdings" w:hint="default"/>
      </w:rPr>
    </w:lvl>
    <w:lvl w:ilvl="3" w:tplc="10E6B75A">
      <w:start w:val="1210"/>
      <w:numFmt w:val="bullet"/>
      <w:lvlText w:val="•"/>
      <w:lvlJc w:val="left"/>
      <w:pPr>
        <w:tabs>
          <w:tab w:val="num" w:pos="2880"/>
        </w:tabs>
        <w:ind w:left="2880" w:hanging="360"/>
      </w:pPr>
      <w:rPr>
        <w:rFonts w:ascii="Times New Roman" w:hAnsi="Times New Roman" w:hint="default"/>
      </w:rPr>
    </w:lvl>
    <w:lvl w:ilvl="4" w:tplc="A0A20A96">
      <w:start w:val="1210"/>
      <w:numFmt w:val="bullet"/>
      <w:lvlText w:val="-"/>
      <w:lvlJc w:val="left"/>
      <w:pPr>
        <w:tabs>
          <w:tab w:val="num" w:pos="3600"/>
        </w:tabs>
        <w:ind w:left="3600" w:hanging="360"/>
      </w:pPr>
      <w:rPr>
        <w:rFonts w:ascii="Arial" w:hAnsi="Arial" w:hint="default"/>
      </w:rPr>
    </w:lvl>
    <w:lvl w:ilvl="5" w:tplc="8B78027C" w:tentative="1">
      <w:start w:val="1"/>
      <w:numFmt w:val="bullet"/>
      <w:lvlText w:val=""/>
      <w:lvlJc w:val="left"/>
      <w:pPr>
        <w:tabs>
          <w:tab w:val="num" w:pos="4320"/>
        </w:tabs>
        <w:ind w:left="4320" w:hanging="360"/>
      </w:pPr>
      <w:rPr>
        <w:rFonts w:ascii="Wingdings" w:hAnsi="Wingdings" w:hint="default"/>
      </w:rPr>
    </w:lvl>
    <w:lvl w:ilvl="6" w:tplc="9A66C2D6" w:tentative="1">
      <w:start w:val="1"/>
      <w:numFmt w:val="bullet"/>
      <w:lvlText w:val=""/>
      <w:lvlJc w:val="left"/>
      <w:pPr>
        <w:tabs>
          <w:tab w:val="num" w:pos="5040"/>
        </w:tabs>
        <w:ind w:left="5040" w:hanging="360"/>
      </w:pPr>
      <w:rPr>
        <w:rFonts w:ascii="Wingdings" w:hAnsi="Wingdings" w:hint="default"/>
      </w:rPr>
    </w:lvl>
    <w:lvl w:ilvl="7" w:tplc="3A24EA32" w:tentative="1">
      <w:start w:val="1"/>
      <w:numFmt w:val="bullet"/>
      <w:lvlText w:val=""/>
      <w:lvlJc w:val="left"/>
      <w:pPr>
        <w:tabs>
          <w:tab w:val="num" w:pos="5760"/>
        </w:tabs>
        <w:ind w:left="5760" w:hanging="360"/>
      </w:pPr>
      <w:rPr>
        <w:rFonts w:ascii="Wingdings" w:hAnsi="Wingdings" w:hint="default"/>
      </w:rPr>
    </w:lvl>
    <w:lvl w:ilvl="8" w:tplc="2886E76C" w:tentative="1">
      <w:start w:val="1"/>
      <w:numFmt w:val="bullet"/>
      <w:lvlText w:val=""/>
      <w:lvlJc w:val="left"/>
      <w:pPr>
        <w:tabs>
          <w:tab w:val="num" w:pos="6480"/>
        </w:tabs>
        <w:ind w:left="6480" w:hanging="360"/>
      </w:pPr>
      <w:rPr>
        <w:rFonts w:ascii="Wingdings" w:hAnsi="Wingdings" w:hint="default"/>
      </w:rPr>
    </w:lvl>
  </w:abstractNum>
  <w:abstractNum w:abstractNumId="15">
    <w:nsid w:val="28DF2BFF"/>
    <w:multiLevelType w:val="hybridMultilevel"/>
    <w:tmpl w:val="0430DDA6"/>
    <w:lvl w:ilvl="0" w:tplc="DE62D778">
      <w:start w:val="1"/>
      <w:numFmt w:val="bullet"/>
      <w:lvlText w:val=""/>
      <w:lvlJc w:val="left"/>
      <w:pPr>
        <w:tabs>
          <w:tab w:val="num" w:pos="720"/>
        </w:tabs>
        <w:ind w:left="720" w:hanging="360"/>
      </w:pPr>
      <w:rPr>
        <w:rFonts w:ascii="Wingdings" w:hAnsi="Wingdings" w:hint="default"/>
      </w:rPr>
    </w:lvl>
    <w:lvl w:ilvl="1" w:tplc="AE4060A2">
      <w:start w:val="1"/>
      <w:numFmt w:val="bullet"/>
      <w:lvlText w:val=""/>
      <w:lvlJc w:val="left"/>
      <w:pPr>
        <w:tabs>
          <w:tab w:val="num" w:pos="1440"/>
        </w:tabs>
        <w:ind w:left="1440" w:hanging="360"/>
      </w:pPr>
      <w:rPr>
        <w:rFonts w:ascii="Wingdings" w:hAnsi="Wingdings" w:hint="default"/>
      </w:rPr>
    </w:lvl>
    <w:lvl w:ilvl="2" w:tplc="AA865840" w:tentative="1">
      <w:start w:val="1"/>
      <w:numFmt w:val="bullet"/>
      <w:lvlText w:val=""/>
      <w:lvlJc w:val="left"/>
      <w:pPr>
        <w:tabs>
          <w:tab w:val="num" w:pos="2160"/>
        </w:tabs>
        <w:ind w:left="2160" w:hanging="360"/>
      </w:pPr>
      <w:rPr>
        <w:rFonts w:ascii="Wingdings" w:hAnsi="Wingdings" w:hint="default"/>
      </w:rPr>
    </w:lvl>
    <w:lvl w:ilvl="3" w:tplc="F5E0478E" w:tentative="1">
      <w:start w:val="1"/>
      <w:numFmt w:val="bullet"/>
      <w:lvlText w:val=""/>
      <w:lvlJc w:val="left"/>
      <w:pPr>
        <w:tabs>
          <w:tab w:val="num" w:pos="2880"/>
        </w:tabs>
        <w:ind w:left="2880" w:hanging="360"/>
      </w:pPr>
      <w:rPr>
        <w:rFonts w:ascii="Wingdings" w:hAnsi="Wingdings" w:hint="default"/>
      </w:rPr>
    </w:lvl>
    <w:lvl w:ilvl="4" w:tplc="6CEABD48" w:tentative="1">
      <w:start w:val="1"/>
      <w:numFmt w:val="bullet"/>
      <w:lvlText w:val=""/>
      <w:lvlJc w:val="left"/>
      <w:pPr>
        <w:tabs>
          <w:tab w:val="num" w:pos="3600"/>
        </w:tabs>
        <w:ind w:left="3600" w:hanging="360"/>
      </w:pPr>
      <w:rPr>
        <w:rFonts w:ascii="Wingdings" w:hAnsi="Wingdings" w:hint="default"/>
      </w:rPr>
    </w:lvl>
    <w:lvl w:ilvl="5" w:tplc="11E4BDB6" w:tentative="1">
      <w:start w:val="1"/>
      <w:numFmt w:val="bullet"/>
      <w:lvlText w:val=""/>
      <w:lvlJc w:val="left"/>
      <w:pPr>
        <w:tabs>
          <w:tab w:val="num" w:pos="4320"/>
        </w:tabs>
        <w:ind w:left="4320" w:hanging="360"/>
      </w:pPr>
      <w:rPr>
        <w:rFonts w:ascii="Wingdings" w:hAnsi="Wingdings" w:hint="default"/>
      </w:rPr>
    </w:lvl>
    <w:lvl w:ilvl="6" w:tplc="9ACCEC7E" w:tentative="1">
      <w:start w:val="1"/>
      <w:numFmt w:val="bullet"/>
      <w:lvlText w:val=""/>
      <w:lvlJc w:val="left"/>
      <w:pPr>
        <w:tabs>
          <w:tab w:val="num" w:pos="5040"/>
        </w:tabs>
        <w:ind w:left="5040" w:hanging="360"/>
      </w:pPr>
      <w:rPr>
        <w:rFonts w:ascii="Wingdings" w:hAnsi="Wingdings" w:hint="default"/>
      </w:rPr>
    </w:lvl>
    <w:lvl w:ilvl="7" w:tplc="33F0E016" w:tentative="1">
      <w:start w:val="1"/>
      <w:numFmt w:val="bullet"/>
      <w:lvlText w:val=""/>
      <w:lvlJc w:val="left"/>
      <w:pPr>
        <w:tabs>
          <w:tab w:val="num" w:pos="5760"/>
        </w:tabs>
        <w:ind w:left="5760" w:hanging="360"/>
      </w:pPr>
      <w:rPr>
        <w:rFonts w:ascii="Wingdings" w:hAnsi="Wingdings" w:hint="default"/>
      </w:rPr>
    </w:lvl>
    <w:lvl w:ilvl="8" w:tplc="5830C176" w:tentative="1">
      <w:start w:val="1"/>
      <w:numFmt w:val="bullet"/>
      <w:lvlText w:val=""/>
      <w:lvlJc w:val="left"/>
      <w:pPr>
        <w:tabs>
          <w:tab w:val="num" w:pos="6480"/>
        </w:tabs>
        <w:ind w:left="6480" w:hanging="360"/>
      </w:pPr>
      <w:rPr>
        <w:rFonts w:ascii="Wingdings" w:hAnsi="Wingdings" w:hint="default"/>
      </w:rPr>
    </w:lvl>
  </w:abstractNum>
  <w:abstractNum w:abstractNumId="16">
    <w:nsid w:val="2BF75995"/>
    <w:multiLevelType w:val="hybridMultilevel"/>
    <w:tmpl w:val="D4A8D944"/>
    <w:lvl w:ilvl="0" w:tplc="90324938">
      <w:start w:val="1"/>
      <w:numFmt w:val="bullet"/>
      <w:lvlText w:val=""/>
      <w:lvlJc w:val="left"/>
      <w:pPr>
        <w:tabs>
          <w:tab w:val="num" w:pos="720"/>
        </w:tabs>
        <w:ind w:left="720" w:hanging="360"/>
      </w:pPr>
      <w:rPr>
        <w:rFonts w:ascii="Symbol" w:hAnsi="Symbol" w:hint="default"/>
      </w:rPr>
    </w:lvl>
    <w:lvl w:ilvl="1" w:tplc="57DAB2B4" w:tentative="1">
      <w:start w:val="1"/>
      <w:numFmt w:val="bullet"/>
      <w:lvlText w:val=""/>
      <w:lvlJc w:val="left"/>
      <w:pPr>
        <w:tabs>
          <w:tab w:val="num" w:pos="1440"/>
        </w:tabs>
        <w:ind w:left="1440" w:hanging="360"/>
      </w:pPr>
      <w:rPr>
        <w:rFonts w:ascii="Symbol" w:hAnsi="Symbol" w:hint="default"/>
      </w:rPr>
    </w:lvl>
    <w:lvl w:ilvl="2" w:tplc="3F58A836" w:tentative="1">
      <w:start w:val="1"/>
      <w:numFmt w:val="bullet"/>
      <w:lvlText w:val=""/>
      <w:lvlJc w:val="left"/>
      <w:pPr>
        <w:tabs>
          <w:tab w:val="num" w:pos="2160"/>
        </w:tabs>
        <w:ind w:left="2160" w:hanging="360"/>
      </w:pPr>
      <w:rPr>
        <w:rFonts w:ascii="Symbol" w:hAnsi="Symbol" w:hint="default"/>
      </w:rPr>
    </w:lvl>
    <w:lvl w:ilvl="3" w:tplc="A60227F4" w:tentative="1">
      <w:start w:val="1"/>
      <w:numFmt w:val="bullet"/>
      <w:lvlText w:val=""/>
      <w:lvlJc w:val="left"/>
      <w:pPr>
        <w:tabs>
          <w:tab w:val="num" w:pos="2880"/>
        </w:tabs>
        <w:ind w:left="2880" w:hanging="360"/>
      </w:pPr>
      <w:rPr>
        <w:rFonts w:ascii="Symbol" w:hAnsi="Symbol" w:hint="default"/>
      </w:rPr>
    </w:lvl>
    <w:lvl w:ilvl="4" w:tplc="294A4A08" w:tentative="1">
      <w:start w:val="1"/>
      <w:numFmt w:val="bullet"/>
      <w:lvlText w:val=""/>
      <w:lvlJc w:val="left"/>
      <w:pPr>
        <w:tabs>
          <w:tab w:val="num" w:pos="3600"/>
        </w:tabs>
        <w:ind w:left="3600" w:hanging="360"/>
      </w:pPr>
      <w:rPr>
        <w:rFonts w:ascii="Symbol" w:hAnsi="Symbol" w:hint="default"/>
      </w:rPr>
    </w:lvl>
    <w:lvl w:ilvl="5" w:tplc="A0F09F14" w:tentative="1">
      <w:start w:val="1"/>
      <w:numFmt w:val="bullet"/>
      <w:lvlText w:val=""/>
      <w:lvlJc w:val="left"/>
      <w:pPr>
        <w:tabs>
          <w:tab w:val="num" w:pos="4320"/>
        </w:tabs>
        <w:ind w:left="4320" w:hanging="360"/>
      </w:pPr>
      <w:rPr>
        <w:rFonts w:ascii="Symbol" w:hAnsi="Symbol" w:hint="default"/>
      </w:rPr>
    </w:lvl>
    <w:lvl w:ilvl="6" w:tplc="528AF276" w:tentative="1">
      <w:start w:val="1"/>
      <w:numFmt w:val="bullet"/>
      <w:lvlText w:val=""/>
      <w:lvlJc w:val="left"/>
      <w:pPr>
        <w:tabs>
          <w:tab w:val="num" w:pos="5040"/>
        </w:tabs>
        <w:ind w:left="5040" w:hanging="360"/>
      </w:pPr>
      <w:rPr>
        <w:rFonts w:ascii="Symbol" w:hAnsi="Symbol" w:hint="default"/>
      </w:rPr>
    </w:lvl>
    <w:lvl w:ilvl="7" w:tplc="1CD8D346" w:tentative="1">
      <w:start w:val="1"/>
      <w:numFmt w:val="bullet"/>
      <w:lvlText w:val=""/>
      <w:lvlJc w:val="left"/>
      <w:pPr>
        <w:tabs>
          <w:tab w:val="num" w:pos="5760"/>
        </w:tabs>
        <w:ind w:left="5760" w:hanging="360"/>
      </w:pPr>
      <w:rPr>
        <w:rFonts w:ascii="Symbol" w:hAnsi="Symbol" w:hint="default"/>
      </w:rPr>
    </w:lvl>
    <w:lvl w:ilvl="8" w:tplc="D4FC89AE" w:tentative="1">
      <w:start w:val="1"/>
      <w:numFmt w:val="bullet"/>
      <w:lvlText w:val=""/>
      <w:lvlJc w:val="left"/>
      <w:pPr>
        <w:tabs>
          <w:tab w:val="num" w:pos="6480"/>
        </w:tabs>
        <w:ind w:left="6480" w:hanging="360"/>
      </w:pPr>
      <w:rPr>
        <w:rFonts w:ascii="Symbol" w:hAnsi="Symbol" w:hint="default"/>
      </w:rPr>
    </w:lvl>
  </w:abstractNum>
  <w:abstractNum w:abstractNumId="17">
    <w:nsid w:val="2D816B29"/>
    <w:multiLevelType w:val="hybridMultilevel"/>
    <w:tmpl w:val="8FF8C3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325F19A2"/>
    <w:multiLevelType w:val="hybridMultilevel"/>
    <w:tmpl w:val="39480840"/>
    <w:lvl w:ilvl="0" w:tplc="CAD613CE">
      <w:start w:val="1"/>
      <w:numFmt w:val="bullet"/>
      <w:lvlText w:val=""/>
      <w:lvlJc w:val="left"/>
      <w:pPr>
        <w:tabs>
          <w:tab w:val="num" w:pos="720"/>
        </w:tabs>
        <w:ind w:left="720" w:hanging="360"/>
      </w:pPr>
      <w:rPr>
        <w:rFonts w:ascii="Wingdings 3" w:hAnsi="Wingdings 3" w:hint="default"/>
      </w:rPr>
    </w:lvl>
    <w:lvl w:ilvl="1" w:tplc="3E745354" w:tentative="1">
      <w:start w:val="1"/>
      <w:numFmt w:val="bullet"/>
      <w:lvlText w:val=""/>
      <w:lvlJc w:val="left"/>
      <w:pPr>
        <w:tabs>
          <w:tab w:val="num" w:pos="1440"/>
        </w:tabs>
        <w:ind w:left="1440" w:hanging="360"/>
      </w:pPr>
      <w:rPr>
        <w:rFonts w:ascii="Wingdings 3" w:hAnsi="Wingdings 3" w:hint="default"/>
      </w:rPr>
    </w:lvl>
    <w:lvl w:ilvl="2" w:tplc="4D56355A">
      <w:numFmt w:val="bullet"/>
      <w:lvlText w:val=""/>
      <w:lvlJc w:val="left"/>
      <w:pPr>
        <w:tabs>
          <w:tab w:val="num" w:pos="2160"/>
        </w:tabs>
        <w:ind w:left="2160" w:hanging="360"/>
      </w:pPr>
      <w:rPr>
        <w:rFonts w:ascii="Wingdings 2" w:hAnsi="Wingdings 2" w:hint="default"/>
      </w:rPr>
    </w:lvl>
    <w:lvl w:ilvl="3" w:tplc="49B8AD72" w:tentative="1">
      <w:start w:val="1"/>
      <w:numFmt w:val="bullet"/>
      <w:lvlText w:val=""/>
      <w:lvlJc w:val="left"/>
      <w:pPr>
        <w:tabs>
          <w:tab w:val="num" w:pos="2880"/>
        </w:tabs>
        <w:ind w:left="2880" w:hanging="360"/>
      </w:pPr>
      <w:rPr>
        <w:rFonts w:ascii="Wingdings 3" w:hAnsi="Wingdings 3" w:hint="default"/>
      </w:rPr>
    </w:lvl>
    <w:lvl w:ilvl="4" w:tplc="8B8AC17A" w:tentative="1">
      <w:start w:val="1"/>
      <w:numFmt w:val="bullet"/>
      <w:lvlText w:val=""/>
      <w:lvlJc w:val="left"/>
      <w:pPr>
        <w:tabs>
          <w:tab w:val="num" w:pos="3600"/>
        </w:tabs>
        <w:ind w:left="3600" w:hanging="360"/>
      </w:pPr>
      <w:rPr>
        <w:rFonts w:ascii="Wingdings 3" w:hAnsi="Wingdings 3" w:hint="default"/>
      </w:rPr>
    </w:lvl>
    <w:lvl w:ilvl="5" w:tplc="E1CE4C86" w:tentative="1">
      <w:start w:val="1"/>
      <w:numFmt w:val="bullet"/>
      <w:lvlText w:val=""/>
      <w:lvlJc w:val="left"/>
      <w:pPr>
        <w:tabs>
          <w:tab w:val="num" w:pos="4320"/>
        </w:tabs>
        <w:ind w:left="4320" w:hanging="360"/>
      </w:pPr>
      <w:rPr>
        <w:rFonts w:ascii="Wingdings 3" w:hAnsi="Wingdings 3" w:hint="default"/>
      </w:rPr>
    </w:lvl>
    <w:lvl w:ilvl="6" w:tplc="45C88388" w:tentative="1">
      <w:start w:val="1"/>
      <w:numFmt w:val="bullet"/>
      <w:lvlText w:val=""/>
      <w:lvlJc w:val="left"/>
      <w:pPr>
        <w:tabs>
          <w:tab w:val="num" w:pos="5040"/>
        </w:tabs>
        <w:ind w:left="5040" w:hanging="360"/>
      </w:pPr>
      <w:rPr>
        <w:rFonts w:ascii="Wingdings 3" w:hAnsi="Wingdings 3" w:hint="default"/>
      </w:rPr>
    </w:lvl>
    <w:lvl w:ilvl="7" w:tplc="A0707834" w:tentative="1">
      <w:start w:val="1"/>
      <w:numFmt w:val="bullet"/>
      <w:lvlText w:val=""/>
      <w:lvlJc w:val="left"/>
      <w:pPr>
        <w:tabs>
          <w:tab w:val="num" w:pos="5760"/>
        </w:tabs>
        <w:ind w:left="5760" w:hanging="360"/>
      </w:pPr>
      <w:rPr>
        <w:rFonts w:ascii="Wingdings 3" w:hAnsi="Wingdings 3" w:hint="default"/>
      </w:rPr>
    </w:lvl>
    <w:lvl w:ilvl="8" w:tplc="CBC020DA" w:tentative="1">
      <w:start w:val="1"/>
      <w:numFmt w:val="bullet"/>
      <w:lvlText w:val=""/>
      <w:lvlJc w:val="left"/>
      <w:pPr>
        <w:tabs>
          <w:tab w:val="num" w:pos="6480"/>
        </w:tabs>
        <w:ind w:left="6480" w:hanging="360"/>
      </w:pPr>
      <w:rPr>
        <w:rFonts w:ascii="Wingdings 3" w:hAnsi="Wingdings 3" w:hint="default"/>
      </w:rPr>
    </w:lvl>
  </w:abstractNum>
  <w:abstractNum w:abstractNumId="19">
    <w:nsid w:val="334E74DA"/>
    <w:multiLevelType w:val="hybridMultilevel"/>
    <w:tmpl w:val="3288FE28"/>
    <w:lvl w:ilvl="0" w:tplc="0618027E">
      <w:start w:val="1"/>
      <w:numFmt w:val="bullet"/>
      <w:lvlText w:val=""/>
      <w:lvlJc w:val="left"/>
      <w:pPr>
        <w:tabs>
          <w:tab w:val="num" w:pos="720"/>
        </w:tabs>
        <w:ind w:left="720" w:hanging="360"/>
      </w:pPr>
      <w:rPr>
        <w:rFonts w:ascii="Wingdings" w:hAnsi="Wingdings" w:hint="default"/>
      </w:rPr>
    </w:lvl>
    <w:lvl w:ilvl="1" w:tplc="147EABC8">
      <w:numFmt w:val="bullet"/>
      <w:lvlText w:val=""/>
      <w:lvlJc w:val="left"/>
      <w:pPr>
        <w:tabs>
          <w:tab w:val="num" w:pos="1440"/>
        </w:tabs>
        <w:ind w:left="1440" w:hanging="360"/>
      </w:pPr>
      <w:rPr>
        <w:rFonts w:ascii="Wingdings" w:hAnsi="Wingdings" w:hint="default"/>
      </w:rPr>
    </w:lvl>
    <w:lvl w:ilvl="2" w:tplc="98068344" w:tentative="1">
      <w:start w:val="1"/>
      <w:numFmt w:val="bullet"/>
      <w:lvlText w:val=""/>
      <w:lvlJc w:val="left"/>
      <w:pPr>
        <w:tabs>
          <w:tab w:val="num" w:pos="2160"/>
        </w:tabs>
        <w:ind w:left="2160" w:hanging="360"/>
      </w:pPr>
      <w:rPr>
        <w:rFonts w:ascii="Wingdings" w:hAnsi="Wingdings" w:hint="default"/>
      </w:rPr>
    </w:lvl>
    <w:lvl w:ilvl="3" w:tplc="42E80B36" w:tentative="1">
      <w:start w:val="1"/>
      <w:numFmt w:val="bullet"/>
      <w:lvlText w:val=""/>
      <w:lvlJc w:val="left"/>
      <w:pPr>
        <w:tabs>
          <w:tab w:val="num" w:pos="2880"/>
        </w:tabs>
        <w:ind w:left="2880" w:hanging="360"/>
      </w:pPr>
      <w:rPr>
        <w:rFonts w:ascii="Wingdings" w:hAnsi="Wingdings" w:hint="default"/>
      </w:rPr>
    </w:lvl>
    <w:lvl w:ilvl="4" w:tplc="59D009E6" w:tentative="1">
      <w:start w:val="1"/>
      <w:numFmt w:val="bullet"/>
      <w:lvlText w:val=""/>
      <w:lvlJc w:val="left"/>
      <w:pPr>
        <w:tabs>
          <w:tab w:val="num" w:pos="3600"/>
        </w:tabs>
        <w:ind w:left="3600" w:hanging="360"/>
      </w:pPr>
      <w:rPr>
        <w:rFonts w:ascii="Wingdings" w:hAnsi="Wingdings" w:hint="default"/>
      </w:rPr>
    </w:lvl>
    <w:lvl w:ilvl="5" w:tplc="03B6AE12" w:tentative="1">
      <w:start w:val="1"/>
      <w:numFmt w:val="bullet"/>
      <w:lvlText w:val=""/>
      <w:lvlJc w:val="left"/>
      <w:pPr>
        <w:tabs>
          <w:tab w:val="num" w:pos="4320"/>
        </w:tabs>
        <w:ind w:left="4320" w:hanging="360"/>
      </w:pPr>
      <w:rPr>
        <w:rFonts w:ascii="Wingdings" w:hAnsi="Wingdings" w:hint="default"/>
      </w:rPr>
    </w:lvl>
    <w:lvl w:ilvl="6" w:tplc="77B4B650" w:tentative="1">
      <w:start w:val="1"/>
      <w:numFmt w:val="bullet"/>
      <w:lvlText w:val=""/>
      <w:lvlJc w:val="left"/>
      <w:pPr>
        <w:tabs>
          <w:tab w:val="num" w:pos="5040"/>
        </w:tabs>
        <w:ind w:left="5040" w:hanging="360"/>
      </w:pPr>
      <w:rPr>
        <w:rFonts w:ascii="Wingdings" w:hAnsi="Wingdings" w:hint="default"/>
      </w:rPr>
    </w:lvl>
    <w:lvl w:ilvl="7" w:tplc="BC98B59A" w:tentative="1">
      <w:start w:val="1"/>
      <w:numFmt w:val="bullet"/>
      <w:lvlText w:val=""/>
      <w:lvlJc w:val="left"/>
      <w:pPr>
        <w:tabs>
          <w:tab w:val="num" w:pos="5760"/>
        </w:tabs>
        <w:ind w:left="5760" w:hanging="360"/>
      </w:pPr>
      <w:rPr>
        <w:rFonts w:ascii="Wingdings" w:hAnsi="Wingdings" w:hint="default"/>
      </w:rPr>
    </w:lvl>
    <w:lvl w:ilvl="8" w:tplc="88E2DB18" w:tentative="1">
      <w:start w:val="1"/>
      <w:numFmt w:val="bullet"/>
      <w:lvlText w:val=""/>
      <w:lvlJc w:val="left"/>
      <w:pPr>
        <w:tabs>
          <w:tab w:val="num" w:pos="6480"/>
        </w:tabs>
        <w:ind w:left="6480" w:hanging="360"/>
      </w:pPr>
      <w:rPr>
        <w:rFonts w:ascii="Wingdings" w:hAnsi="Wingdings" w:hint="default"/>
      </w:rPr>
    </w:lvl>
  </w:abstractNum>
  <w:abstractNum w:abstractNumId="20">
    <w:nsid w:val="348625C3"/>
    <w:multiLevelType w:val="hybridMultilevel"/>
    <w:tmpl w:val="708AF732"/>
    <w:lvl w:ilvl="0" w:tplc="00D42D6A">
      <w:start w:val="1"/>
      <w:numFmt w:val="lowerLetter"/>
      <w:lvlText w:val="%1)"/>
      <w:lvlJc w:val="left"/>
      <w:pPr>
        <w:ind w:left="720" w:hanging="360"/>
      </w:pPr>
      <w:rPr>
        <w:rFonts w:cs="Times New Roman" w:hint="default"/>
        <w:b w:val="0"/>
        <w:color w:val="auto"/>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1">
    <w:nsid w:val="36790D4A"/>
    <w:multiLevelType w:val="hybridMultilevel"/>
    <w:tmpl w:val="AB489E12"/>
    <w:lvl w:ilvl="0" w:tplc="87B21BAC">
      <w:start w:val="1"/>
      <w:numFmt w:val="lowerLetter"/>
      <w:lvlText w:val="%1)"/>
      <w:lvlJc w:val="left"/>
      <w:pPr>
        <w:tabs>
          <w:tab w:val="num" w:pos="1714"/>
        </w:tabs>
        <w:ind w:left="1714" w:hanging="1005"/>
      </w:pPr>
      <w:rPr>
        <w:rFonts w:ascii="Calibri" w:hAnsi="Calibri" w:cs="Calibri" w:hint="default"/>
      </w:rPr>
    </w:lvl>
    <w:lvl w:ilvl="1" w:tplc="0C0A0019" w:tentative="1">
      <w:start w:val="1"/>
      <w:numFmt w:val="lowerLetter"/>
      <w:lvlText w:val="%2."/>
      <w:lvlJc w:val="left"/>
      <w:pPr>
        <w:tabs>
          <w:tab w:val="num" w:pos="1789"/>
        </w:tabs>
        <w:ind w:left="1789" w:hanging="360"/>
      </w:pPr>
      <w:rPr>
        <w:rFonts w:cs="Times New Roman"/>
      </w:rPr>
    </w:lvl>
    <w:lvl w:ilvl="2" w:tplc="0C0A001B" w:tentative="1">
      <w:start w:val="1"/>
      <w:numFmt w:val="lowerRoman"/>
      <w:lvlText w:val="%3."/>
      <w:lvlJc w:val="right"/>
      <w:pPr>
        <w:tabs>
          <w:tab w:val="num" w:pos="2509"/>
        </w:tabs>
        <w:ind w:left="2509" w:hanging="180"/>
      </w:pPr>
      <w:rPr>
        <w:rFonts w:cs="Times New Roman"/>
      </w:rPr>
    </w:lvl>
    <w:lvl w:ilvl="3" w:tplc="0C0A000F" w:tentative="1">
      <w:start w:val="1"/>
      <w:numFmt w:val="decimal"/>
      <w:lvlText w:val="%4."/>
      <w:lvlJc w:val="left"/>
      <w:pPr>
        <w:tabs>
          <w:tab w:val="num" w:pos="3229"/>
        </w:tabs>
        <w:ind w:left="3229" w:hanging="360"/>
      </w:pPr>
      <w:rPr>
        <w:rFonts w:cs="Times New Roman"/>
      </w:rPr>
    </w:lvl>
    <w:lvl w:ilvl="4" w:tplc="0C0A0019" w:tentative="1">
      <w:start w:val="1"/>
      <w:numFmt w:val="lowerLetter"/>
      <w:lvlText w:val="%5."/>
      <w:lvlJc w:val="left"/>
      <w:pPr>
        <w:tabs>
          <w:tab w:val="num" w:pos="3949"/>
        </w:tabs>
        <w:ind w:left="3949" w:hanging="360"/>
      </w:pPr>
      <w:rPr>
        <w:rFonts w:cs="Times New Roman"/>
      </w:rPr>
    </w:lvl>
    <w:lvl w:ilvl="5" w:tplc="0C0A001B" w:tentative="1">
      <w:start w:val="1"/>
      <w:numFmt w:val="lowerRoman"/>
      <w:lvlText w:val="%6."/>
      <w:lvlJc w:val="right"/>
      <w:pPr>
        <w:tabs>
          <w:tab w:val="num" w:pos="4669"/>
        </w:tabs>
        <w:ind w:left="4669" w:hanging="180"/>
      </w:pPr>
      <w:rPr>
        <w:rFonts w:cs="Times New Roman"/>
      </w:rPr>
    </w:lvl>
    <w:lvl w:ilvl="6" w:tplc="0C0A000F" w:tentative="1">
      <w:start w:val="1"/>
      <w:numFmt w:val="decimal"/>
      <w:lvlText w:val="%7."/>
      <w:lvlJc w:val="left"/>
      <w:pPr>
        <w:tabs>
          <w:tab w:val="num" w:pos="5389"/>
        </w:tabs>
        <w:ind w:left="5389" w:hanging="360"/>
      </w:pPr>
      <w:rPr>
        <w:rFonts w:cs="Times New Roman"/>
      </w:rPr>
    </w:lvl>
    <w:lvl w:ilvl="7" w:tplc="0C0A0019" w:tentative="1">
      <w:start w:val="1"/>
      <w:numFmt w:val="lowerLetter"/>
      <w:lvlText w:val="%8."/>
      <w:lvlJc w:val="left"/>
      <w:pPr>
        <w:tabs>
          <w:tab w:val="num" w:pos="6109"/>
        </w:tabs>
        <w:ind w:left="6109" w:hanging="360"/>
      </w:pPr>
      <w:rPr>
        <w:rFonts w:cs="Times New Roman"/>
      </w:rPr>
    </w:lvl>
    <w:lvl w:ilvl="8" w:tplc="0C0A001B" w:tentative="1">
      <w:start w:val="1"/>
      <w:numFmt w:val="lowerRoman"/>
      <w:lvlText w:val="%9."/>
      <w:lvlJc w:val="right"/>
      <w:pPr>
        <w:tabs>
          <w:tab w:val="num" w:pos="6829"/>
        </w:tabs>
        <w:ind w:left="6829" w:hanging="180"/>
      </w:pPr>
      <w:rPr>
        <w:rFonts w:cs="Times New Roman"/>
      </w:rPr>
    </w:lvl>
  </w:abstractNum>
  <w:abstractNum w:abstractNumId="22">
    <w:nsid w:val="3ADD6078"/>
    <w:multiLevelType w:val="hybridMultilevel"/>
    <w:tmpl w:val="56323E76"/>
    <w:lvl w:ilvl="0" w:tplc="A34044C0">
      <w:start w:val="1"/>
      <w:numFmt w:val="bullet"/>
      <w:lvlText w:val=""/>
      <w:lvlJc w:val="left"/>
      <w:pPr>
        <w:tabs>
          <w:tab w:val="num" w:pos="720"/>
        </w:tabs>
        <w:ind w:left="720" w:hanging="360"/>
      </w:pPr>
      <w:rPr>
        <w:rFonts w:ascii="Wingdings" w:hAnsi="Wingdings" w:hint="default"/>
      </w:rPr>
    </w:lvl>
    <w:lvl w:ilvl="1" w:tplc="CA3ABD66">
      <w:start w:val="1"/>
      <w:numFmt w:val="bullet"/>
      <w:lvlText w:val=""/>
      <w:lvlJc w:val="left"/>
      <w:pPr>
        <w:tabs>
          <w:tab w:val="num" w:pos="1440"/>
        </w:tabs>
        <w:ind w:left="1440" w:hanging="360"/>
      </w:pPr>
      <w:rPr>
        <w:rFonts w:ascii="Wingdings" w:hAnsi="Wingdings" w:hint="default"/>
      </w:rPr>
    </w:lvl>
    <w:lvl w:ilvl="2" w:tplc="77CAF4EE">
      <w:start w:val="1"/>
      <w:numFmt w:val="lowerRoman"/>
      <w:lvlText w:val="(%3)"/>
      <w:lvlJc w:val="right"/>
      <w:pPr>
        <w:tabs>
          <w:tab w:val="num" w:pos="2204"/>
        </w:tabs>
        <w:ind w:left="2204" w:hanging="360"/>
      </w:pPr>
      <w:rPr>
        <w:rFonts w:cs="Times New Roman"/>
      </w:rPr>
    </w:lvl>
    <w:lvl w:ilvl="3" w:tplc="1562C7DE" w:tentative="1">
      <w:start w:val="1"/>
      <w:numFmt w:val="bullet"/>
      <w:lvlText w:val=""/>
      <w:lvlJc w:val="left"/>
      <w:pPr>
        <w:tabs>
          <w:tab w:val="num" w:pos="2880"/>
        </w:tabs>
        <w:ind w:left="2880" w:hanging="360"/>
      </w:pPr>
      <w:rPr>
        <w:rFonts w:ascii="Wingdings" w:hAnsi="Wingdings" w:hint="default"/>
      </w:rPr>
    </w:lvl>
    <w:lvl w:ilvl="4" w:tplc="08A62AFA" w:tentative="1">
      <w:start w:val="1"/>
      <w:numFmt w:val="bullet"/>
      <w:lvlText w:val=""/>
      <w:lvlJc w:val="left"/>
      <w:pPr>
        <w:tabs>
          <w:tab w:val="num" w:pos="3600"/>
        </w:tabs>
        <w:ind w:left="3600" w:hanging="360"/>
      </w:pPr>
      <w:rPr>
        <w:rFonts w:ascii="Wingdings" w:hAnsi="Wingdings" w:hint="default"/>
      </w:rPr>
    </w:lvl>
    <w:lvl w:ilvl="5" w:tplc="182483B0" w:tentative="1">
      <w:start w:val="1"/>
      <w:numFmt w:val="bullet"/>
      <w:lvlText w:val=""/>
      <w:lvlJc w:val="left"/>
      <w:pPr>
        <w:tabs>
          <w:tab w:val="num" w:pos="4320"/>
        </w:tabs>
        <w:ind w:left="4320" w:hanging="360"/>
      </w:pPr>
      <w:rPr>
        <w:rFonts w:ascii="Wingdings" w:hAnsi="Wingdings" w:hint="default"/>
      </w:rPr>
    </w:lvl>
    <w:lvl w:ilvl="6" w:tplc="56E0294A" w:tentative="1">
      <w:start w:val="1"/>
      <w:numFmt w:val="bullet"/>
      <w:lvlText w:val=""/>
      <w:lvlJc w:val="left"/>
      <w:pPr>
        <w:tabs>
          <w:tab w:val="num" w:pos="5040"/>
        </w:tabs>
        <w:ind w:left="5040" w:hanging="360"/>
      </w:pPr>
      <w:rPr>
        <w:rFonts w:ascii="Wingdings" w:hAnsi="Wingdings" w:hint="default"/>
      </w:rPr>
    </w:lvl>
    <w:lvl w:ilvl="7" w:tplc="436CE34E" w:tentative="1">
      <w:start w:val="1"/>
      <w:numFmt w:val="bullet"/>
      <w:lvlText w:val=""/>
      <w:lvlJc w:val="left"/>
      <w:pPr>
        <w:tabs>
          <w:tab w:val="num" w:pos="5760"/>
        </w:tabs>
        <w:ind w:left="5760" w:hanging="360"/>
      </w:pPr>
      <w:rPr>
        <w:rFonts w:ascii="Wingdings" w:hAnsi="Wingdings" w:hint="default"/>
      </w:rPr>
    </w:lvl>
    <w:lvl w:ilvl="8" w:tplc="B8B21E22" w:tentative="1">
      <w:start w:val="1"/>
      <w:numFmt w:val="bullet"/>
      <w:lvlText w:val=""/>
      <w:lvlJc w:val="left"/>
      <w:pPr>
        <w:tabs>
          <w:tab w:val="num" w:pos="6480"/>
        </w:tabs>
        <w:ind w:left="6480" w:hanging="360"/>
      </w:pPr>
      <w:rPr>
        <w:rFonts w:ascii="Wingdings" w:hAnsi="Wingdings" w:hint="default"/>
      </w:rPr>
    </w:lvl>
  </w:abstractNum>
  <w:abstractNum w:abstractNumId="23">
    <w:nsid w:val="3F3F124C"/>
    <w:multiLevelType w:val="hybridMultilevel"/>
    <w:tmpl w:val="0DBEA0D0"/>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4">
    <w:nsid w:val="460D370B"/>
    <w:multiLevelType w:val="hybridMultilevel"/>
    <w:tmpl w:val="3A0062F6"/>
    <w:lvl w:ilvl="0" w:tplc="88661F0A">
      <w:start w:val="1"/>
      <w:numFmt w:val="decimal"/>
      <w:lvlText w:val="%1."/>
      <w:lvlJc w:val="left"/>
      <w:pPr>
        <w:ind w:left="2130" w:hanging="177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5">
    <w:nsid w:val="47A075FC"/>
    <w:multiLevelType w:val="hybridMultilevel"/>
    <w:tmpl w:val="FC866514"/>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nsid w:val="5120084A"/>
    <w:multiLevelType w:val="hybridMultilevel"/>
    <w:tmpl w:val="5FF4B2F2"/>
    <w:lvl w:ilvl="0" w:tplc="5A12E8CC">
      <w:start w:val="1"/>
      <w:numFmt w:val="bullet"/>
      <w:lvlText w:val=""/>
      <w:lvlJc w:val="left"/>
      <w:pPr>
        <w:tabs>
          <w:tab w:val="num" w:pos="720"/>
        </w:tabs>
        <w:ind w:left="720" w:hanging="360"/>
      </w:pPr>
      <w:rPr>
        <w:rFonts w:ascii="Wingdings 3" w:hAnsi="Wingdings 3" w:hint="default"/>
      </w:rPr>
    </w:lvl>
    <w:lvl w:ilvl="1" w:tplc="9216FC04" w:tentative="1">
      <w:start w:val="1"/>
      <w:numFmt w:val="bullet"/>
      <w:lvlText w:val=""/>
      <w:lvlJc w:val="left"/>
      <w:pPr>
        <w:tabs>
          <w:tab w:val="num" w:pos="1440"/>
        </w:tabs>
        <w:ind w:left="1440" w:hanging="360"/>
      </w:pPr>
      <w:rPr>
        <w:rFonts w:ascii="Wingdings 3" w:hAnsi="Wingdings 3" w:hint="default"/>
      </w:rPr>
    </w:lvl>
    <w:lvl w:ilvl="2" w:tplc="ED403142" w:tentative="1">
      <w:start w:val="1"/>
      <w:numFmt w:val="bullet"/>
      <w:lvlText w:val=""/>
      <w:lvlJc w:val="left"/>
      <w:pPr>
        <w:tabs>
          <w:tab w:val="num" w:pos="2160"/>
        </w:tabs>
        <w:ind w:left="2160" w:hanging="360"/>
      </w:pPr>
      <w:rPr>
        <w:rFonts w:ascii="Wingdings 3" w:hAnsi="Wingdings 3" w:hint="default"/>
      </w:rPr>
    </w:lvl>
    <w:lvl w:ilvl="3" w:tplc="1E04DE88" w:tentative="1">
      <w:start w:val="1"/>
      <w:numFmt w:val="bullet"/>
      <w:lvlText w:val=""/>
      <w:lvlJc w:val="left"/>
      <w:pPr>
        <w:tabs>
          <w:tab w:val="num" w:pos="2880"/>
        </w:tabs>
        <w:ind w:left="2880" w:hanging="360"/>
      </w:pPr>
      <w:rPr>
        <w:rFonts w:ascii="Wingdings 3" w:hAnsi="Wingdings 3" w:hint="default"/>
      </w:rPr>
    </w:lvl>
    <w:lvl w:ilvl="4" w:tplc="899A699E" w:tentative="1">
      <w:start w:val="1"/>
      <w:numFmt w:val="bullet"/>
      <w:lvlText w:val=""/>
      <w:lvlJc w:val="left"/>
      <w:pPr>
        <w:tabs>
          <w:tab w:val="num" w:pos="3600"/>
        </w:tabs>
        <w:ind w:left="3600" w:hanging="360"/>
      </w:pPr>
      <w:rPr>
        <w:rFonts w:ascii="Wingdings 3" w:hAnsi="Wingdings 3" w:hint="default"/>
      </w:rPr>
    </w:lvl>
    <w:lvl w:ilvl="5" w:tplc="38EE76AC" w:tentative="1">
      <w:start w:val="1"/>
      <w:numFmt w:val="bullet"/>
      <w:lvlText w:val=""/>
      <w:lvlJc w:val="left"/>
      <w:pPr>
        <w:tabs>
          <w:tab w:val="num" w:pos="4320"/>
        </w:tabs>
        <w:ind w:left="4320" w:hanging="360"/>
      </w:pPr>
      <w:rPr>
        <w:rFonts w:ascii="Wingdings 3" w:hAnsi="Wingdings 3" w:hint="default"/>
      </w:rPr>
    </w:lvl>
    <w:lvl w:ilvl="6" w:tplc="327ACCB2" w:tentative="1">
      <w:start w:val="1"/>
      <w:numFmt w:val="bullet"/>
      <w:lvlText w:val=""/>
      <w:lvlJc w:val="left"/>
      <w:pPr>
        <w:tabs>
          <w:tab w:val="num" w:pos="5040"/>
        </w:tabs>
        <w:ind w:left="5040" w:hanging="360"/>
      </w:pPr>
      <w:rPr>
        <w:rFonts w:ascii="Wingdings 3" w:hAnsi="Wingdings 3" w:hint="default"/>
      </w:rPr>
    </w:lvl>
    <w:lvl w:ilvl="7" w:tplc="6FE28F3E" w:tentative="1">
      <w:start w:val="1"/>
      <w:numFmt w:val="bullet"/>
      <w:lvlText w:val=""/>
      <w:lvlJc w:val="left"/>
      <w:pPr>
        <w:tabs>
          <w:tab w:val="num" w:pos="5760"/>
        </w:tabs>
        <w:ind w:left="5760" w:hanging="360"/>
      </w:pPr>
      <w:rPr>
        <w:rFonts w:ascii="Wingdings 3" w:hAnsi="Wingdings 3" w:hint="default"/>
      </w:rPr>
    </w:lvl>
    <w:lvl w:ilvl="8" w:tplc="B8BCA098" w:tentative="1">
      <w:start w:val="1"/>
      <w:numFmt w:val="bullet"/>
      <w:lvlText w:val=""/>
      <w:lvlJc w:val="left"/>
      <w:pPr>
        <w:tabs>
          <w:tab w:val="num" w:pos="6480"/>
        </w:tabs>
        <w:ind w:left="6480" w:hanging="360"/>
      </w:pPr>
      <w:rPr>
        <w:rFonts w:ascii="Wingdings 3" w:hAnsi="Wingdings 3" w:hint="default"/>
      </w:rPr>
    </w:lvl>
  </w:abstractNum>
  <w:abstractNum w:abstractNumId="27">
    <w:nsid w:val="553A5317"/>
    <w:multiLevelType w:val="hybridMultilevel"/>
    <w:tmpl w:val="C0563898"/>
    <w:lvl w:ilvl="0" w:tplc="270E8D4A">
      <w:start w:val="1"/>
      <w:numFmt w:val="upp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nsid w:val="58EA4F1D"/>
    <w:multiLevelType w:val="hybridMultilevel"/>
    <w:tmpl w:val="33EA2A1A"/>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9">
    <w:nsid w:val="59107999"/>
    <w:multiLevelType w:val="hybridMultilevel"/>
    <w:tmpl w:val="65B8CB7C"/>
    <w:lvl w:ilvl="0" w:tplc="E9609E72">
      <w:start w:val="1"/>
      <w:numFmt w:val="bullet"/>
      <w:lvlText w:val="•"/>
      <w:lvlJc w:val="left"/>
      <w:pPr>
        <w:tabs>
          <w:tab w:val="num" w:pos="720"/>
        </w:tabs>
        <w:ind w:left="720" w:hanging="360"/>
      </w:pPr>
      <w:rPr>
        <w:rFonts w:ascii="Arial" w:hAnsi="Arial" w:hint="default"/>
      </w:rPr>
    </w:lvl>
    <w:lvl w:ilvl="1" w:tplc="F762FCDA" w:tentative="1">
      <w:start w:val="1"/>
      <w:numFmt w:val="bullet"/>
      <w:lvlText w:val="•"/>
      <w:lvlJc w:val="left"/>
      <w:pPr>
        <w:tabs>
          <w:tab w:val="num" w:pos="1440"/>
        </w:tabs>
        <w:ind w:left="1440" w:hanging="360"/>
      </w:pPr>
      <w:rPr>
        <w:rFonts w:ascii="Arial" w:hAnsi="Arial" w:hint="default"/>
      </w:rPr>
    </w:lvl>
    <w:lvl w:ilvl="2" w:tplc="CA688FF6">
      <w:start w:val="1"/>
      <w:numFmt w:val="bullet"/>
      <w:lvlText w:val="•"/>
      <w:lvlJc w:val="left"/>
      <w:pPr>
        <w:tabs>
          <w:tab w:val="num" w:pos="2160"/>
        </w:tabs>
        <w:ind w:left="2160" w:hanging="360"/>
      </w:pPr>
      <w:rPr>
        <w:rFonts w:ascii="Arial" w:hAnsi="Arial" w:hint="default"/>
      </w:rPr>
    </w:lvl>
    <w:lvl w:ilvl="3" w:tplc="52C4BF4A" w:tentative="1">
      <w:start w:val="1"/>
      <w:numFmt w:val="bullet"/>
      <w:lvlText w:val="•"/>
      <w:lvlJc w:val="left"/>
      <w:pPr>
        <w:tabs>
          <w:tab w:val="num" w:pos="2880"/>
        </w:tabs>
        <w:ind w:left="2880" w:hanging="360"/>
      </w:pPr>
      <w:rPr>
        <w:rFonts w:ascii="Arial" w:hAnsi="Arial" w:hint="default"/>
      </w:rPr>
    </w:lvl>
    <w:lvl w:ilvl="4" w:tplc="23B2CE08" w:tentative="1">
      <w:start w:val="1"/>
      <w:numFmt w:val="bullet"/>
      <w:lvlText w:val="•"/>
      <w:lvlJc w:val="left"/>
      <w:pPr>
        <w:tabs>
          <w:tab w:val="num" w:pos="3600"/>
        </w:tabs>
        <w:ind w:left="3600" w:hanging="360"/>
      </w:pPr>
      <w:rPr>
        <w:rFonts w:ascii="Arial" w:hAnsi="Arial" w:hint="default"/>
      </w:rPr>
    </w:lvl>
    <w:lvl w:ilvl="5" w:tplc="B966FD1A" w:tentative="1">
      <w:start w:val="1"/>
      <w:numFmt w:val="bullet"/>
      <w:lvlText w:val="•"/>
      <w:lvlJc w:val="left"/>
      <w:pPr>
        <w:tabs>
          <w:tab w:val="num" w:pos="4320"/>
        </w:tabs>
        <w:ind w:left="4320" w:hanging="360"/>
      </w:pPr>
      <w:rPr>
        <w:rFonts w:ascii="Arial" w:hAnsi="Arial" w:hint="default"/>
      </w:rPr>
    </w:lvl>
    <w:lvl w:ilvl="6" w:tplc="5D18D18E" w:tentative="1">
      <w:start w:val="1"/>
      <w:numFmt w:val="bullet"/>
      <w:lvlText w:val="•"/>
      <w:lvlJc w:val="left"/>
      <w:pPr>
        <w:tabs>
          <w:tab w:val="num" w:pos="5040"/>
        </w:tabs>
        <w:ind w:left="5040" w:hanging="360"/>
      </w:pPr>
      <w:rPr>
        <w:rFonts w:ascii="Arial" w:hAnsi="Arial" w:hint="default"/>
      </w:rPr>
    </w:lvl>
    <w:lvl w:ilvl="7" w:tplc="CB340026" w:tentative="1">
      <w:start w:val="1"/>
      <w:numFmt w:val="bullet"/>
      <w:lvlText w:val="•"/>
      <w:lvlJc w:val="left"/>
      <w:pPr>
        <w:tabs>
          <w:tab w:val="num" w:pos="5760"/>
        </w:tabs>
        <w:ind w:left="5760" w:hanging="360"/>
      </w:pPr>
      <w:rPr>
        <w:rFonts w:ascii="Arial" w:hAnsi="Arial" w:hint="default"/>
      </w:rPr>
    </w:lvl>
    <w:lvl w:ilvl="8" w:tplc="02A4A16E" w:tentative="1">
      <w:start w:val="1"/>
      <w:numFmt w:val="bullet"/>
      <w:lvlText w:val="•"/>
      <w:lvlJc w:val="left"/>
      <w:pPr>
        <w:tabs>
          <w:tab w:val="num" w:pos="6480"/>
        </w:tabs>
        <w:ind w:left="6480" w:hanging="360"/>
      </w:pPr>
      <w:rPr>
        <w:rFonts w:ascii="Arial" w:hAnsi="Arial" w:hint="default"/>
      </w:rPr>
    </w:lvl>
  </w:abstractNum>
  <w:abstractNum w:abstractNumId="30">
    <w:nsid w:val="616C2667"/>
    <w:multiLevelType w:val="hybridMultilevel"/>
    <w:tmpl w:val="F6B041E8"/>
    <w:lvl w:ilvl="0" w:tplc="E7EC0962">
      <w:start w:val="1"/>
      <w:numFmt w:val="bullet"/>
      <w:lvlText w:val="•"/>
      <w:lvlJc w:val="left"/>
      <w:pPr>
        <w:tabs>
          <w:tab w:val="num" w:pos="720"/>
        </w:tabs>
        <w:ind w:left="720" w:hanging="360"/>
      </w:pPr>
      <w:rPr>
        <w:rFonts w:ascii="Arial" w:hAnsi="Arial" w:hint="default"/>
      </w:rPr>
    </w:lvl>
    <w:lvl w:ilvl="1" w:tplc="61347492" w:tentative="1">
      <w:start w:val="1"/>
      <w:numFmt w:val="bullet"/>
      <w:lvlText w:val="•"/>
      <w:lvlJc w:val="left"/>
      <w:pPr>
        <w:tabs>
          <w:tab w:val="num" w:pos="1440"/>
        </w:tabs>
        <w:ind w:left="1440" w:hanging="360"/>
      </w:pPr>
      <w:rPr>
        <w:rFonts w:ascii="Arial" w:hAnsi="Arial" w:hint="default"/>
      </w:rPr>
    </w:lvl>
    <w:lvl w:ilvl="2" w:tplc="7BB6768C" w:tentative="1">
      <w:start w:val="1"/>
      <w:numFmt w:val="bullet"/>
      <w:lvlText w:val="•"/>
      <w:lvlJc w:val="left"/>
      <w:pPr>
        <w:tabs>
          <w:tab w:val="num" w:pos="2160"/>
        </w:tabs>
        <w:ind w:left="2160" w:hanging="360"/>
      </w:pPr>
      <w:rPr>
        <w:rFonts w:ascii="Arial" w:hAnsi="Arial" w:hint="default"/>
      </w:rPr>
    </w:lvl>
    <w:lvl w:ilvl="3" w:tplc="73FE40A4" w:tentative="1">
      <w:start w:val="1"/>
      <w:numFmt w:val="bullet"/>
      <w:lvlText w:val="•"/>
      <w:lvlJc w:val="left"/>
      <w:pPr>
        <w:tabs>
          <w:tab w:val="num" w:pos="2880"/>
        </w:tabs>
        <w:ind w:left="2880" w:hanging="360"/>
      </w:pPr>
      <w:rPr>
        <w:rFonts w:ascii="Arial" w:hAnsi="Arial" w:hint="default"/>
      </w:rPr>
    </w:lvl>
    <w:lvl w:ilvl="4" w:tplc="2774169E" w:tentative="1">
      <w:start w:val="1"/>
      <w:numFmt w:val="bullet"/>
      <w:lvlText w:val="•"/>
      <w:lvlJc w:val="left"/>
      <w:pPr>
        <w:tabs>
          <w:tab w:val="num" w:pos="3600"/>
        </w:tabs>
        <w:ind w:left="3600" w:hanging="360"/>
      </w:pPr>
      <w:rPr>
        <w:rFonts w:ascii="Arial" w:hAnsi="Arial" w:hint="default"/>
      </w:rPr>
    </w:lvl>
    <w:lvl w:ilvl="5" w:tplc="F24E333A" w:tentative="1">
      <w:start w:val="1"/>
      <w:numFmt w:val="bullet"/>
      <w:lvlText w:val="•"/>
      <w:lvlJc w:val="left"/>
      <w:pPr>
        <w:tabs>
          <w:tab w:val="num" w:pos="4320"/>
        </w:tabs>
        <w:ind w:left="4320" w:hanging="360"/>
      </w:pPr>
      <w:rPr>
        <w:rFonts w:ascii="Arial" w:hAnsi="Arial" w:hint="default"/>
      </w:rPr>
    </w:lvl>
    <w:lvl w:ilvl="6" w:tplc="A9989752" w:tentative="1">
      <w:start w:val="1"/>
      <w:numFmt w:val="bullet"/>
      <w:lvlText w:val="•"/>
      <w:lvlJc w:val="left"/>
      <w:pPr>
        <w:tabs>
          <w:tab w:val="num" w:pos="5040"/>
        </w:tabs>
        <w:ind w:left="5040" w:hanging="360"/>
      </w:pPr>
      <w:rPr>
        <w:rFonts w:ascii="Arial" w:hAnsi="Arial" w:hint="default"/>
      </w:rPr>
    </w:lvl>
    <w:lvl w:ilvl="7" w:tplc="A79ED070" w:tentative="1">
      <w:start w:val="1"/>
      <w:numFmt w:val="bullet"/>
      <w:lvlText w:val="•"/>
      <w:lvlJc w:val="left"/>
      <w:pPr>
        <w:tabs>
          <w:tab w:val="num" w:pos="5760"/>
        </w:tabs>
        <w:ind w:left="5760" w:hanging="360"/>
      </w:pPr>
      <w:rPr>
        <w:rFonts w:ascii="Arial" w:hAnsi="Arial" w:hint="default"/>
      </w:rPr>
    </w:lvl>
    <w:lvl w:ilvl="8" w:tplc="F89C31B6" w:tentative="1">
      <w:start w:val="1"/>
      <w:numFmt w:val="bullet"/>
      <w:lvlText w:val="•"/>
      <w:lvlJc w:val="left"/>
      <w:pPr>
        <w:tabs>
          <w:tab w:val="num" w:pos="6480"/>
        </w:tabs>
        <w:ind w:left="6480" w:hanging="360"/>
      </w:pPr>
      <w:rPr>
        <w:rFonts w:ascii="Arial" w:hAnsi="Arial" w:hint="default"/>
      </w:rPr>
    </w:lvl>
  </w:abstractNum>
  <w:abstractNum w:abstractNumId="31">
    <w:nsid w:val="63E34DB8"/>
    <w:multiLevelType w:val="hybridMultilevel"/>
    <w:tmpl w:val="AF7A8FF4"/>
    <w:lvl w:ilvl="0" w:tplc="3058FA7A">
      <w:start w:val="1"/>
      <w:numFmt w:val="bullet"/>
      <w:lvlText w:val=""/>
      <w:lvlJc w:val="left"/>
      <w:pPr>
        <w:tabs>
          <w:tab w:val="num" w:pos="720"/>
        </w:tabs>
        <w:ind w:left="720" w:hanging="360"/>
      </w:pPr>
      <w:rPr>
        <w:rFonts w:ascii="Wingdings" w:hAnsi="Wingdings" w:hint="default"/>
      </w:rPr>
    </w:lvl>
    <w:lvl w:ilvl="1" w:tplc="DD1AEF64">
      <w:start w:val="1"/>
      <w:numFmt w:val="bullet"/>
      <w:lvlText w:val=""/>
      <w:lvlJc w:val="left"/>
      <w:pPr>
        <w:tabs>
          <w:tab w:val="num" w:pos="1440"/>
        </w:tabs>
        <w:ind w:left="1440" w:hanging="360"/>
      </w:pPr>
      <w:rPr>
        <w:rFonts w:ascii="Wingdings" w:hAnsi="Wingdings" w:hint="default"/>
      </w:rPr>
    </w:lvl>
    <w:lvl w:ilvl="2" w:tplc="8180AF8E">
      <w:start w:val="1205"/>
      <w:numFmt w:val="bullet"/>
      <w:lvlText w:val="•"/>
      <w:lvlJc w:val="left"/>
      <w:pPr>
        <w:tabs>
          <w:tab w:val="num" w:pos="2160"/>
        </w:tabs>
        <w:ind w:left="2160" w:hanging="360"/>
      </w:pPr>
      <w:rPr>
        <w:rFonts w:ascii="Times New Roman" w:hAnsi="Times New Roman" w:hint="default"/>
      </w:rPr>
    </w:lvl>
    <w:lvl w:ilvl="3" w:tplc="65B09706" w:tentative="1">
      <w:start w:val="1"/>
      <w:numFmt w:val="bullet"/>
      <w:lvlText w:val=""/>
      <w:lvlJc w:val="left"/>
      <w:pPr>
        <w:tabs>
          <w:tab w:val="num" w:pos="2880"/>
        </w:tabs>
        <w:ind w:left="2880" w:hanging="360"/>
      </w:pPr>
      <w:rPr>
        <w:rFonts w:ascii="Wingdings" w:hAnsi="Wingdings" w:hint="default"/>
      </w:rPr>
    </w:lvl>
    <w:lvl w:ilvl="4" w:tplc="260AAF88" w:tentative="1">
      <w:start w:val="1"/>
      <w:numFmt w:val="bullet"/>
      <w:lvlText w:val=""/>
      <w:lvlJc w:val="left"/>
      <w:pPr>
        <w:tabs>
          <w:tab w:val="num" w:pos="3600"/>
        </w:tabs>
        <w:ind w:left="3600" w:hanging="360"/>
      </w:pPr>
      <w:rPr>
        <w:rFonts w:ascii="Wingdings" w:hAnsi="Wingdings" w:hint="default"/>
      </w:rPr>
    </w:lvl>
    <w:lvl w:ilvl="5" w:tplc="7122890C" w:tentative="1">
      <w:start w:val="1"/>
      <w:numFmt w:val="bullet"/>
      <w:lvlText w:val=""/>
      <w:lvlJc w:val="left"/>
      <w:pPr>
        <w:tabs>
          <w:tab w:val="num" w:pos="4320"/>
        </w:tabs>
        <w:ind w:left="4320" w:hanging="360"/>
      </w:pPr>
      <w:rPr>
        <w:rFonts w:ascii="Wingdings" w:hAnsi="Wingdings" w:hint="default"/>
      </w:rPr>
    </w:lvl>
    <w:lvl w:ilvl="6" w:tplc="FE4430DA" w:tentative="1">
      <w:start w:val="1"/>
      <w:numFmt w:val="bullet"/>
      <w:lvlText w:val=""/>
      <w:lvlJc w:val="left"/>
      <w:pPr>
        <w:tabs>
          <w:tab w:val="num" w:pos="5040"/>
        </w:tabs>
        <w:ind w:left="5040" w:hanging="360"/>
      </w:pPr>
      <w:rPr>
        <w:rFonts w:ascii="Wingdings" w:hAnsi="Wingdings" w:hint="default"/>
      </w:rPr>
    </w:lvl>
    <w:lvl w:ilvl="7" w:tplc="83F246C8" w:tentative="1">
      <w:start w:val="1"/>
      <w:numFmt w:val="bullet"/>
      <w:lvlText w:val=""/>
      <w:lvlJc w:val="left"/>
      <w:pPr>
        <w:tabs>
          <w:tab w:val="num" w:pos="5760"/>
        </w:tabs>
        <w:ind w:left="5760" w:hanging="360"/>
      </w:pPr>
      <w:rPr>
        <w:rFonts w:ascii="Wingdings" w:hAnsi="Wingdings" w:hint="default"/>
      </w:rPr>
    </w:lvl>
    <w:lvl w:ilvl="8" w:tplc="FE9E885E" w:tentative="1">
      <w:start w:val="1"/>
      <w:numFmt w:val="bullet"/>
      <w:lvlText w:val=""/>
      <w:lvlJc w:val="left"/>
      <w:pPr>
        <w:tabs>
          <w:tab w:val="num" w:pos="6480"/>
        </w:tabs>
        <w:ind w:left="6480" w:hanging="360"/>
      </w:pPr>
      <w:rPr>
        <w:rFonts w:ascii="Wingdings" w:hAnsi="Wingdings" w:hint="default"/>
      </w:rPr>
    </w:lvl>
  </w:abstractNum>
  <w:abstractNum w:abstractNumId="32">
    <w:nsid w:val="674A3F08"/>
    <w:multiLevelType w:val="hybridMultilevel"/>
    <w:tmpl w:val="73447600"/>
    <w:lvl w:ilvl="0" w:tplc="2C0A0015">
      <w:start w:val="1"/>
      <w:numFmt w:val="upp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nsid w:val="68E72337"/>
    <w:multiLevelType w:val="hybridMultilevel"/>
    <w:tmpl w:val="80EC5792"/>
    <w:lvl w:ilvl="0" w:tplc="048CC216">
      <w:start w:val="1"/>
      <w:numFmt w:val="bullet"/>
      <w:lvlText w:val="•"/>
      <w:lvlJc w:val="left"/>
      <w:pPr>
        <w:tabs>
          <w:tab w:val="num" w:pos="720"/>
        </w:tabs>
        <w:ind w:left="720" w:hanging="360"/>
      </w:pPr>
      <w:rPr>
        <w:rFonts w:ascii="Arial" w:hAnsi="Arial" w:hint="default"/>
      </w:rPr>
    </w:lvl>
    <w:lvl w:ilvl="1" w:tplc="383EFEEA" w:tentative="1">
      <w:start w:val="1"/>
      <w:numFmt w:val="bullet"/>
      <w:lvlText w:val="•"/>
      <w:lvlJc w:val="left"/>
      <w:pPr>
        <w:tabs>
          <w:tab w:val="num" w:pos="1440"/>
        </w:tabs>
        <w:ind w:left="1440" w:hanging="360"/>
      </w:pPr>
      <w:rPr>
        <w:rFonts w:ascii="Arial" w:hAnsi="Arial" w:hint="default"/>
      </w:rPr>
    </w:lvl>
    <w:lvl w:ilvl="2" w:tplc="158AB0A2" w:tentative="1">
      <w:start w:val="1"/>
      <w:numFmt w:val="bullet"/>
      <w:lvlText w:val="•"/>
      <w:lvlJc w:val="left"/>
      <w:pPr>
        <w:tabs>
          <w:tab w:val="num" w:pos="2160"/>
        </w:tabs>
        <w:ind w:left="2160" w:hanging="360"/>
      </w:pPr>
      <w:rPr>
        <w:rFonts w:ascii="Arial" w:hAnsi="Arial" w:hint="default"/>
      </w:rPr>
    </w:lvl>
    <w:lvl w:ilvl="3" w:tplc="ACACC740" w:tentative="1">
      <w:start w:val="1"/>
      <w:numFmt w:val="bullet"/>
      <w:lvlText w:val="•"/>
      <w:lvlJc w:val="left"/>
      <w:pPr>
        <w:tabs>
          <w:tab w:val="num" w:pos="2880"/>
        </w:tabs>
        <w:ind w:left="2880" w:hanging="360"/>
      </w:pPr>
      <w:rPr>
        <w:rFonts w:ascii="Arial" w:hAnsi="Arial" w:hint="default"/>
      </w:rPr>
    </w:lvl>
    <w:lvl w:ilvl="4" w:tplc="6518E696" w:tentative="1">
      <w:start w:val="1"/>
      <w:numFmt w:val="bullet"/>
      <w:lvlText w:val="•"/>
      <w:lvlJc w:val="left"/>
      <w:pPr>
        <w:tabs>
          <w:tab w:val="num" w:pos="3600"/>
        </w:tabs>
        <w:ind w:left="3600" w:hanging="360"/>
      </w:pPr>
      <w:rPr>
        <w:rFonts w:ascii="Arial" w:hAnsi="Arial" w:hint="default"/>
      </w:rPr>
    </w:lvl>
    <w:lvl w:ilvl="5" w:tplc="8950669A" w:tentative="1">
      <w:start w:val="1"/>
      <w:numFmt w:val="bullet"/>
      <w:lvlText w:val="•"/>
      <w:lvlJc w:val="left"/>
      <w:pPr>
        <w:tabs>
          <w:tab w:val="num" w:pos="4320"/>
        </w:tabs>
        <w:ind w:left="4320" w:hanging="360"/>
      </w:pPr>
      <w:rPr>
        <w:rFonts w:ascii="Arial" w:hAnsi="Arial" w:hint="default"/>
      </w:rPr>
    </w:lvl>
    <w:lvl w:ilvl="6" w:tplc="84DEB674" w:tentative="1">
      <w:start w:val="1"/>
      <w:numFmt w:val="bullet"/>
      <w:lvlText w:val="•"/>
      <w:lvlJc w:val="left"/>
      <w:pPr>
        <w:tabs>
          <w:tab w:val="num" w:pos="5040"/>
        </w:tabs>
        <w:ind w:left="5040" w:hanging="360"/>
      </w:pPr>
      <w:rPr>
        <w:rFonts w:ascii="Arial" w:hAnsi="Arial" w:hint="default"/>
      </w:rPr>
    </w:lvl>
    <w:lvl w:ilvl="7" w:tplc="30324598" w:tentative="1">
      <w:start w:val="1"/>
      <w:numFmt w:val="bullet"/>
      <w:lvlText w:val="•"/>
      <w:lvlJc w:val="left"/>
      <w:pPr>
        <w:tabs>
          <w:tab w:val="num" w:pos="5760"/>
        </w:tabs>
        <w:ind w:left="5760" w:hanging="360"/>
      </w:pPr>
      <w:rPr>
        <w:rFonts w:ascii="Arial" w:hAnsi="Arial" w:hint="default"/>
      </w:rPr>
    </w:lvl>
    <w:lvl w:ilvl="8" w:tplc="30F0AF8C" w:tentative="1">
      <w:start w:val="1"/>
      <w:numFmt w:val="bullet"/>
      <w:lvlText w:val="•"/>
      <w:lvlJc w:val="left"/>
      <w:pPr>
        <w:tabs>
          <w:tab w:val="num" w:pos="6480"/>
        </w:tabs>
        <w:ind w:left="6480" w:hanging="360"/>
      </w:pPr>
      <w:rPr>
        <w:rFonts w:ascii="Arial" w:hAnsi="Arial" w:hint="default"/>
      </w:rPr>
    </w:lvl>
  </w:abstractNum>
  <w:abstractNum w:abstractNumId="34">
    <w:nsid w:val="694D092F"/>
    <w:multiLevelType w:val="hybridMultilevel"/>
    <w:tmpl w:val="06EC06DA"/>
    <w:lvl w:ilvl="0" w:tplc="47A4C6C0">
      <w:start w:val="1"/>
      <w:numFmt w:val="bullet"/>
      <w:lvlText w:val=""/>
      <w:lvlJc w:val="left"/>
      <w:pPr>
        <w:tabs>
          <w:tab w:val="num" w:pos="720"/>
        </w:tabs>
        <w:ind w:left="720" w:hanging="360"/>
      </w:pPr>
      <w:rPr>
        <w:rFonts w:ascii="Wingdings" w:hAnsi="Wingdings" w:hint="default"/>
      </w:rPr>
    </w:lvl>
    <w:lvl w:ilvl="1" w:tplc="35486888">
      <w:start w:val="1"/>
      <w:numFmt w:val="bullet"/>
      <w:lvlText w:val=""/>
      <w:lvlJc w:val="left"/>
      <w:pPr>
        <w:tabs>
          <w:tab w:val="num" w:pos="1440"/>
        </w:tabs>
        <w:ind w:left="1440" w:hanging="360"/>
      </w:pPr>
      <w:rPr>
        <w:rFonts w:ascii="Wingdings" w:hAnsi="Wingdings" w:hint="default"/>
      </w:rPr>
    </w:lvl>
    <w:lvl w:ilvl="2" w:tplc="C89205CA">
      <w:start w:val="1205"/>
      <w:numFmt w:val="bullet"/>
      <w:lvlText w:val="•"/>
      <w:lvlJc w:val="left"/>
      <w:pPr>
        <w:tabs>
          <w:tab w:val="num" w:pos="2160"/>
        </w:tabs>
        <w:ind w:left="2160" w:hanging="360"/>
      </w:pPr>
      <w:rPr>
        <w:rFonts w:ascii="Times New Roman" w:hAnsi="Times New Roman" w:hint="default"/>
      </w:rPr>
    </w:lvl>
    <w:lvl w:ilvl="3" w:tplc="83388DF4" w:tentative="1">
      <w:start w:val="1"/>
      <w:numFmt w:val="bullet"/>
      <w:lvlText w:val=""/>
      <w:lvlJc w:val="left"/>
      <w:pPr>
        <w:tabs>
          <w:tab w:val="num" w:pos="2880"/>
        </w:tabs>
        <w:ind w:left="2880" w:hanging="360"/>
      </w:pPr>
      <w:rPr>
        <w:rFonts w:ascii="Wingdings" w:hAnsi="Wingdings" w:hint="default"/>
      </w:rPr>
    </w:lvl>
    <w:lvl w:ilvl="4" w:tplc="3FB2EC62" w:tentative="1">
      <w:start w:val="1"/>
      <w:numFmt w:val="bullet"/>
      <w:lvlText w:val=""/>
      <w:lvlJc w:val="left"/>
      <w:pPr>
        <w:tabs>
          <w:tab w:val="num" w:pos="3600"/>
        </w:tabs>
        <w:ind w:left="3600" w:hanging="360"/>
      </w:pPr>
      <w:rPr>
        <w:rFonts w:ascii="Wingdings" w:hAnsi="Wingdings" w:hint="default"/>
      </w:rPr>
    </w:lvl>
    <w:lvl w:ilvl="5" w:tplc="27AEA492" w:tentative="1">
      <w:start w:val="1"/>
      <w:numFmt w:val="bullet"/>
      <w:lvlText w:val=""/>
      <w:lvlJc w:val="left"/>
      <w:pPr>
        <w:tabs>
          <w:tab w:val="num" w:pos="4320"/>
        </w:tabs>
        <w:ind w:left="4320" w:hanging="360"/>
      </w:pPr>
      <w:rPr>
        <w:rFonts w:ascii="Wingdings" w:hAnsi="Wingdings" w:hint="default"/>
      </w:rPr>
    </w:lvl>
    <w:lvl w:ilvl="6" w:tplc="05F6FF10" w:tentative="1">
      <w:start w:val="1"/>
      <w:numFmt w:val="bullet"/>
      <w:lvlText w:val=""/>
      <w:lvlJc w:val="left"/>
      <w:pPr>
        <w:tabs>
          <w:tab w:val="num" w:pos="5040"/>
        </w:tabs>
        <w:ind w:left="5040" w:hanging="360"/>
      </w:pPr>
      <w:rPr>
        <w:rFonts w:ascii="Wingdings" w:hAnsi="Wingdings" w:hint="default"/>
      </w:rPr>
    </w:lvl>
    <w:lvl w:ilvl="7" w:tplc="9A820452" w:tentative="1">
      <w:start w:val="1"/>
      <w:numFmt w:val="bullet"/>
      <w:lvlText w:val=""/>
      <w:lvlJc w:val="left"/>
      <w:pPr>
        <w:tabs>
          <w:tab w:val="num" w:pos="5760"/>
        </w:tabs>
        <w:ind w:left="5760" w:hanging="360"/>
      </w:pPr>
      <w:rPr>
        <w:rFonts w:ascii="Wingdings" w:hAnsi="Wingdings" w:hint="default"/>
      </w:rPr>
    </w:lvl>
    <w:lvl w:ilvl="8" w:tplc="2028055C" w:tentative="1">
      <w:start w:val="1"/>
      <w:numFmt w:val="bullet"/>
      <w:lvlText w:val=""/>
      <w:lvlJc w:val="left"/>
      <w:pPr>
        <w:tabs>
          <w:tab w:val="num" w:pos="6480"/>
        </w:tabs>
        <w:ind w:left="6480" w:hanging="360"/>
      </w:pPr>
      <w:rPr>
        <w:rFonts w:ascii="Wingdings" w:hAnsi="Wingdings" w:hint="default"/>
      </w:rPr>
    </w:lvl>
  </w:abstractNum>
  <w:abstractNum w:abstractNumId="35">
    <w:nsid w:val="69AE7C85"/>
    <w:multiLevelType w:val="hybridMultilevel"/>
    <w:tmpl w:val="D478A680"/>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6">
    <w:nsid w:val="6A99342B"/>
    <w:multiLevelType w:val="hybridMultilevel"/>
    <w:tmpl w:val="5088C322"/>
    <w:lvl w:ilvl="0" w:tplc="31CE3D16">
      <w:start w:val="1"/>
      <w:numFmt w:val="bullet"/>
      <w:lvlText w:val=""/>
      <w:lvlJc w:val="left"/>
      <w:pPr>
        <w:tabs>
          <w:tab w:val="num" w:pos="720"/>
        </w:tabs>
        <w:ind w:left="720" w:hanging="360"/>
      </w:pPr>
      <w:rPr>
        <w:rFonts w:ascii="Wingdings" w:hAnsi="Wingdings" w:hint="default"/>
      </w:rPr>
    </w:lvl>
    <w:lvl w:ilvl="1" w:tplc="BE4605CA">
      <w:start w:val="1"/>
      <w:numFmt w:val="bullet"/>
      <w:lvlText w:val=""/>
      <w:lvlJc w:val="left"/>
      <w:pPr>
        <w:tabs>
          <w:tab w:val="num" w:pos="1440"/>
        </w:tabs>
        <w:ind w:left="1440" w:hanging="360"/>
      </w:pPr>
      <w:rPr>
        <w:rFonts w:ascii="Wingdings" w:hAnsi="Wingdings" w:hint="default"/>
      </w:rPr>
    </w:lvl>
    <w:lvl w:ilvl="2" w:tplc="5C209980">
      <w:start w:val="1689"/>
      <w:numFmt w:val="bullet"/>
      <w:lvlText w:val="•"/>
      <w:lvlJc w:val="left"/>
      <w:pPr>
        <w:tabs>
          <w:tab w:val="num" w:pos="2160"/>
        </w:tabs>
        <w:ind w:left="2160" w:hanging="360"/>
      </w:pPr>
      <w:rPr>
        <w:rFonts w:ascii="Times New Roman" w:hAnsi="Times New Roman" w:hint="default"/>
      </w:rPr>
    </w:lvl>
    <w:lvl w:ilvl="3" w:tplc="71507A50" w:tentative="1">
      <w:start w:val="1"/>
      <w:numFmt w:val="bullet"/>
      <w:lvlText w:val=""/>
      <w:lvlJc w:val="left"/>
      <w:pPr>
        <w:tabs>
          <w:tab w:val="num" w:pos="2880"/>
        </w:tabs>
        <w:ind w:left="2880" w:hanging="360"/>
      </w:pPr>
      <w:rPr>
        <w:rFonts w:ascii="Wingdings" w:hAnsi="Wingdings" w:hint="default"/>
      </w:rPr>
    </w:lvl>
    <w:lvl w:ilvl="4" w:tplc="B560BF3E" w:tentative="1">
      <w:start w:val="1"/>
      <w:numFmt w:val="bullet"/>
      <w:lvlText w:val=""/>
      <w:lvlJc w:val="left"/>
      <w:pPr>
        <w:tabs>
          <w:tab w:val="num" w:pos="3600"/>
        </w:tabs>
        <w:ind w:left="3600" w:hanging="360"/>
      </w:pPr>
      <w:rPr>
        <w:rFonts w:ascii="Wingdings" w:hAnsi="Wingdings" w:hint="default"/>
      </w:rPr>
    </w:lvl>
    <w:lvl w:ilvl="5" w:tplc="67660A8C" w:tentative="1">
      <w:start w:val="1"/>
      <w:numFmt w:val="bullet"/>
      <w:lvlText w:val=""/>
      <w:lvlJc w:val="left"/>
      <w:pPr>
        <w:tabs>
          <w:tab w:val="num" w:pos="4320"/>
        </w:tabs>
        <w:ind w:left="4320" w:hanging="360"/>
      </w:pPr>
      <w:rPr>
        <w:rFonts w:ascii="Wingdings" w:hAnsi="Wingdings" w:hint="default"/>
      </w:rPr>
    </w:lvl>
    <w:lvl w:ilvl="6" w:tplc="0E202590" w:tentative="1">
      <w:start w:val="1"/>
      <w:numFmt w:val="bullet"/>
      <w:lvlText w:val=""/>
      <w:lvlJc w:val="left"/>
      <w:pPr>
        <w:tabs>
          <w:tab w:val="num" w:pos="5040"/>
        </w:tabs>
        <w:ind w:left="5040" w:hanging="360"/>
      </w:pPr>
      <w:rPr>
        <w:rFonts w:ascii="Wingdings" w:hAnsi="Wingdings" w:hint="default"/>
      </w:rPr>
    </w:lvl>
    <w:lvl w:ilvl="7" w:tplc="556C8C88" w:tentative="1">
      <w:start w:val="1"/>
      <w:numFmt w:val="bullet"/>
      <w:lvlText w:val=""/>
      <w:lvlJc w:val="left"/>
      <w:pPr>
        <w:tabs>
          <w:tab w:val="num" w:pos="5760"/>
        </w:tabs>
        <w:ind w:left="5760" w:hanging="360"/>
      </w:pPr>
      <w:rPr>
        <w:rFonts w:ascii="Wingdings" w:hAnsi="Wingdings" w:hint="default"/>
      </w:rPr>
    </w:lvl>
    <w:lvl w:ilvl="8" w:tplc="BC06CB22" w:tentative="1">
      <w:start w:val="1"/>
      <w:numFmt w:val="bullet"/>
      <w:lvlText w:val=""/>
      <w:lvlJc w:val="left"/>
      <w:pPr>
        <w:tabs>
          <w:tab w:val="num" w:pos="6480"/>
        </w:tabs>
        <w:ind w:left="6480" w:hanging="360"/>
      </w:pPr>
      <w:rPr>
        <w:rFonts w:ascii="Wingdings" w:hAnsi="Wingdings" w:hint="default"/>
      </w:rPr>
    </w:lvl>
  </w:abstractNum>
  <w:abstractNum w:abstractNumId="37">
    <w:nsid w:val="70832785"/>
    <w:multiLevelType w:val="hybridMultilevel"/>
    <w:tmpl w:val="CC14B0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nsid w:val="71285910"/>
    <w:multiLevelType w:val="hybridMultilevel"/>
    <w:tmpl w:val="8234AAAC"/>
    <w:lvl w:ilvl="0" w:tplc="2C0A0017">
      <w:start w:val="1"/>
      <w:numFmt w:val="lowerLetter"/>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9">
    <w:nsid w:val="723C4819"/>
    <w:multiLevelType w:val="hybridMultilevel"/>
    <w:tmpl w:val="020AA3D4"/>
    <w:lvl w:ilvl="0" w:tplc="0C0A0011">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0">
    <w:nsid w:val="734560CC"/>
    <w:multiLevelType w:val="hybridMultilevel"/>
    <w:tmpl w:val="51FC9AB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1">
    <w:nsid w:val="7D95104A"/>
    <w:multiLevelType w:val="hybridMultilevel"/>
    <w:tmpl w:val="9AF65DB6"/>
    <w:lvl w:ilvl="0" w:tplc="3ECA3826">
      <w:start w:val="1"/>
      <w:numFmt w:val="low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2">
    <w:nsid w:val="7EA13D34"/>
    <w:multiLevelType w:val="hybridMultilevel"/>
    <w:tmpl w:val="541C28F0"/>
    <w:lvl w:ilvl="0" w:tplc="F79EF61C">
      <w:start w:val="1"/>
      <w:numFmt w:val="bullet"/>
      <w:lvlText w:val=""/>
      <w:lvlJc w:val="left"/>
      <w:pPr>
        <w:tabs>
          <w:tab w:val="num" w:pos="720"/>
        </w:tabs>
        <w:ind w:left="720" w:hanging="360"/>
      </w:pPr>
      <w:rPr>
        <w:rFonts w:ascii="Wingdings" w:hAnsi="Wingdings" w:hint="default"/>
      </w:rPr>
    </w:lvl>
    <w:lvl w:ilvl="1" w:tplc="34E0F380">
      <w:start w:val="606"/>
      <w:numFmt w:val="bullet"/>
      <w:lvlText w:val=""/>
      <w:lvlJc w:val="left"/>
      <w:pPr>
        <w:tabs>
          <w:tab w:val="num" w:pos="1440"/>
        </w:tabs>
        <w:ind w:left="1440" w:hanging="360"/>
      </w:pPr>
      <w:rPr>
        <w:rFonts w:ascii="Wingdings" w:hAnsi="Wingdings" w:hint="default"/>
      </w:rPr>
    </w:lvl>
    <w:lvl w:ilvl="2" w:tplc="FE3CDDDC" w:tentative="1">
      <w:start w:val="1"/>
      <w:numFmt w:val="bullet"/>
      <w:lvlText w:val=""/>
      <w:lvlJc w:val="left"/>
      <w:pPr>
        <w:tabs>
          <w:tab w:val="num" w:pos="2160"/>
        </w:tabs>
        <w:ind w:left="2160" w:hanging="360"/>
      </w:pPr>
      <w:rPr>
        <w:rFonts w:ascii="Wingdings" w:hAnsi="Wingdings" w:hint="default"/>
      </w:rPr>
    </w:lvl>
    <w:lvl w:ilvl="3" w:tplc="F49E0836" w:tentative="1">
      <w:start w:val="1"/>
      <w:numFmt w:val="bullet"/>
      <w:lvlText w:val=""/>
      <w:lvlJc w:val="left"/>
      <w:pPr>
        <w:tabs>
          <w:tab w:val="num" w:pos="2880"/>
        </w:tabs>
        <w:ind w:left="2880" w:hanging="360"/>
      </w:pPr>
      <w:rPr>
        <w:rFonts w:ascii="Wingdings" w:hAnsi="Wingdings" w:hint="default"/>
      </w:rPr>
    </w:lvl>
    <w:lvl w:ilvl="4" w:tplc="3EB299BC" w:tentative="1">
      <w:start w:val="1"/>
      <w:numFmt w:val="bullet"/>
      <w:lvlText w:val=""/>
      <w:lvlJc w:val="left"/>
      <w:pPr>
        <w:tabs>
          <w:tab w:val="num" w:pos="3600"/>
        </w:tabs>
        <w:ind w:left="3600" w:hanging="360"/>
      </w:pPr>
      <w:rPr>
        <w:rFonts w:ascii="Wingdings" w:hAnsi="Wingdings" w:hint="default"/>
      </w:rPr>
    </w:lvl>
    <w:lvl w:ilvl="5" w:tplc="380A46E4" w:tentative="1">
      <w:start w:val="1"/>
      <w:numFmt w:val="bullet"/>
      <w:lvlText w:val=""/>
      <w:lvlJc w:val="left"/>
      <w:pPr>
        <w:tabs>
          <w:tab w:val="num" w:pos="4320"/>
        </w:tabs>
        <w:ind w:left="4320" w:hanging="360"/>
      </w:pPr>
      <w:rPr>
        <w:rFonts w:ascii="Wingdings" w:hAnsi="Wingdings" w:hint="default"/>
      </w:rPr>
    </w:lvl>
    <w:lvl w:ilvl="6" w:tplc="0400F014" w:tentative="1">
      <w:start w:val="1"/>
      <w:numFmt w:val="bullet"/>
      <w:lvlText w:val=""/>
      <w:lvlJc w:val="left"/>
      <w:pPr>
        <w:tabs>
          <w:tab w:val="num" w:pos="5040"/>
        </w:tabs>
        <w:ind w:left="5040" w:hanging="360"/>
      </w:pPr>
      <w:rPr>
        <w:rFonts w:ascii="Wingdings" w:hAnsi="Wingdings" w:hint="default"/>
      </w:rPr>
    </w:lvl>
    <w:lvl w:ilvl="7" w:tplc="CD1E8748" w:tentative="1">
      <w:start w:val="1"/>
      <w:numFmt w:val="bullet"/>
      <w:lvlText w:val=""/>
      <w:lvlJc w:val="left"/>
      <w:pPr>
        <w:tabs>
          <w:tab w:val="num" w:pos="5760"/>
        </w:tabs>
        <w:ind w:left="5760" w:hanging="360"/>
      </w:pPr>
      <w:rPr>
        <w:rFonts w:ascii="Wingdings" w:hAnsi="Wingdings" w:hint="default"/>
      </w:rPr>
    </w:lvl>
    <w:lvl w:ilvl="8" w:tplc="6958CA1C" w:tentative="1">
      <w:start w:val="1"/>
      <w:numFmt w:val="bullet"/>
      <w:lvlText w:val=""/>
      <w:lvlJc w:val="left"/>
      <w:pPr>
        <w:tabs>
          <w:tab w:val="num" w:pos="6480"/>
        </w:tabs>
        <w:ind w:left="6480" w:hanging="360"/>
      </w:pPr>
      <w:rPr>
        <w:rFonts w:ascii="Wingdings" w:hAnsi="Wingdings" w:hint="default"/>
      </w:rPr>
    </w:lvl>
  </w:abstractNum>
  <w:abstractNum w:abstractNumId="43">
    <w:nsid w:val="7F8F588C"/>
    <w:multiLevelType w:val="multilevel"/>
    <w:tmpl w:val="8E44543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b/>
        <w:color w:val="auto"/>
        <w:u w:val="none"/>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0"/>
  </w:num>
  <w:num w:numId="2">
    <w:abstractNumId w:val="28"/>
  </w:num>
  <w:num w:numId="3">
    <w:abstractNumId w:val="24"/>
  </w:num>
  <w:num w:numId="4">
    <w:abstractNumId w:val="21"/>
  </w:num>
  <w:num w:numId="5">
    <w:abstractNumId w:val="10"/>
  </w:num>
  <w:num w:numId="6">
    <w:abstractNumId w:val="40"/>
  </w:num>
  <w:num w:numId="7">
    <w:abstractNumId w:val="39"/>
  </w:num>
  <w:num w:numId="8">
    <w:abstractNumId w:val="38"/>
  </w:num>
  <w:num w:numId="9">
    <w:abstractNumId w:val="41"/>
  </w:num>
  <w:num w:numId="10">
    <w:abstractNumId w:val="12"/>
  </w:num>
  <w:num w:numId="11">
    <w:abstractNumId w:val="35"/>
  </w:num>
  <w:num w:numId="12">
    <w:abstractNumId w:val="26"/>
  </w:num>
  <w:num w:numId="13">
    <w:abstractNumId w:val="37"/>
  </w:num>
  <w:num w:numId="14">
    <w:abstractNumId w:val="11"/>
  </w:num>
  <w:num w:numId="15">
    <w:abstractNumId w:val="17"/>
  </w:num>
  <w:num w:numId="16">
    <w:abstractNumId w:val="6"/>
  </w:num>
  <w:num w:numId="17">
    <w:abstractNumId w:val="29"/>
  </w:num>
  <w:num w:numId="18">
    <w:abstractNumId w:val="1"/>
  </w:num>
  <w:num w:numId="19">
    <w:abstractNumId w:val="7"/>
  </w:num>
  <w:num w:numId="20">
    <w:abstractNumId w:val="16"/>
  </w:num>
  <w:num w:numId="21">
    <w:abstractNumId w:val="19"/>
  </w:num>
  <w:num w:numId="22">
    <w:abstractNumId w:val="33"/>
  </w:num>
  <w:num w:numId="23">
    <w:abstractNumId w:val="30"/>
  </w:num>
  <w:num w:numId="24">
    <w:abstractNumId w:val="18"/>
  </w:num>
  <w:num w:numId="25">
    <w:abstractNumId w:val="3"/>
  </w:num>
  <w:num w:numId="26">
    <w:abstractNumId w:val="13"/>
  </w:num>
  <w:num w:numId="27">
    <w:abstractNumId w:val="36"/>
  </w:num>
  <w:num w:numId="28">
    <w:abstractNumId w:val="34"/>
  </w:num>
  <w:num w:numId="29">
    <w:abstractNumId w:val="31"/>
  </w:num>
  <w:num w:numId="30">
    <w:abstractNumId w:val="22"/>
  </w:num>
  <w:num w:numId="31">
    <w:abstractNumId w:val="14"/>
  </w:num>
  <w:num w:numId="32">
    <w:abstractNumId w:val="15"/>
  </w:num>
  <w:num w:numId="33">
    <w:abstractNumId w:val="8"/>
  </w:num>
  <w:num w:numId="34">
    <w:abstractNumId w:val="2"/>
  </w:num>
  <w:num w:numId="35">
    <w:abstractNumId w:val="42"/>
  </w:num>
  <w:num w:numId="36">
    <w:abstractNumId w:val="9"/>
  </w:num>
  <w:num w:numId="37">
    <w:abstractNumId w:val="27"/>
  </w:num>
  <w:num w:numId="38">
    <w:abstractNumId w:val="0"/>
  </w:num>
  <w:num w:numId="39">
    <w:abstractNumId w:val="43"/>
  </w:num>
  <w:num w:numId="40">
    <w:abstractNumId w:val="32"/>
  </w:num>
  <w:num w:numId="41">
    <w:abstractNumId w:val="23"/>
  </w:num>
  <w:num w:numId="42">
    <w:abstractNumId w:val="4"/>
  </w:num>
  <w:num w:numId="43">
    <w:abstractNumId w:val="5"/>
  </w:num>
  <w:num w:numId="4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7212"/>
    <w:rsid w:val="00001968"/>
    <w:rsid w:val="00001B69"/>
    <w:rsid w:val="00002717"/>
    <w:rsid w:val="00007BAC"/>
    <w:rsid w:val="00010C48"/>
    <w:rsid w:val="000114E6"/>
    <w:rsid w:val="00015E52"/>
    <w:rsid w:val="00016317"/>
    <w:rsid w:val="0001689F"/>
    <w:rsid w:val="00017170"/>
    <w:rsid w:val="000174EB"/>
    <w:rsid w:val="00020B20"/>
    <w:rsid w:val="00021A43"/>
    <w:rsid w:val="00022EE8"/>
    <w:rsid w:val="00023A3E"/>
    <w:rsid w:val="0002677C"/>
    <w:rsid w:val="0003289C"/>
    <w:rsid w:val="0003428F"/>
    <w:rsid w:val="00034859"/>
    <w:rsid w:val="00034D74"/>
    <w:rsid w:val="00036CD6"/>
    <w:rsid w:val="000373A8"/>
    <w:rsid w:val="000375A2"/>
    <w:rsid w:val="000467CF"/>
    <w:rsid w:val="00047714"/>
    <w:rsid w:val="0005184A"/>
    <w:rsid w:val="000528E2"/>
    <w:rsid w:val="00063F26"/>
    <w:rsid w:val="00065B06"/>
    <w:rsid w:val="00065FAD"/>
    <w:rsid w:val="000668C7"/>
    <w:rsid w:val="00067786"/>
    <w:rsid w:val="00070636"/>
    <w:rsid w:val="000706CE"/>
    <w:rsid w:val="000707A4"/>
    <w:rsid w:val="00070862"/>
    <w:rsid w:val="000712EC"/>
    <w:rsid w:val="000739B8"/>
    <w:rsid w:val="000745CF"/>
    <w:rsid w:val="00076F6B"/>
    <w:rsid w:val="00077065"/>
    <w:rsid w:val="00081EEB"/>
    <w:rsid w:val="00082636"/>
    <w:rsid w:val="000832B4"/>
    <w:rsid w:val="00084B52"/>
    <w:rsid w:val="00086BB5"/>
    <w:rsid w:val="00086C5E"/>
    <w:rsid w:val="00087EFC"/>
    <w:rsid w:val="00090900"/>
    <w:rsid w:val="00090D07"/>
    <w:rsid w:val="0009129E"/>
    <w:rsid w:val="00093008"/>
    <w:rsid w:val="00094D4F"/>
    <w:rsid w:val="000975B6"/>
    <w:rsid w:val="000A0C8C"/>
    <w:rsid w:val="000A2BBB"/>
    <w:rsid w:val="000A345F"/>
    <w:rsid w:val="000A3BC3"/>
    <w:rsid w:val="000A4549"/>
    <w:rsid w:val="000A5AA0"/>
    <w:rsid w:val="000A7644"/>
    <w:rsid w:val="000A7DCD"/>
    <w:rsid w:val="000B05F7"/>
    <w:rsid w:val="000B2974"/>
    <w:rsid w:val="000B2EE2"/>
    <w:rsid w:val="000B57BE"/>
    <w:rsid w:val="000B655D"/>
    <w:rsid w:val="000B79CF"/>
    <w:rsid w:val="000C259A"/>
    <w:rsid w:val="000C7FFE"/>
    <w:rsid w:val="000D10C1"/>
    <w:rsid w:val="000D3202"/>
    <w:rsid w:val="000D431F"/>
    <w:rsid w:val="000D43C6"/>
    <w:rsid w:val="000D61AA"/>
    <w:rsid w:val="000D67FE"/>
    <w:rsid w:val="000E0431"/>
    <w:rsid w:val="000E0BC2"/>
    <w:rsid w:val="000E3D32"/>
    <w:rsid w:val="000E6897"/>
    <w:rsid w:val="000F04DF"/>
    <w:rsid w:val="000F3B21"/>
    <w:rsid w:val="000F4796"/>
    <w:rsid w:val="000F4E64"/>
    <w:rsid w:val="000F57B6"/>
    <w:rsid w:val="000F6B85"/>
    <w:rsid w:val="000F6F08"/>
    <w:rsid w:val="00100A2E"/>
    <w:rsid w:val="0010122E"/>
    <w:rsid w:val="0010255A"/>
    <w:rsid w:val="00105D88"/>
    <w:rsid w:val="00110288"/>
    <w:rsid w:val="00111A31"/>
    <w:rsid w:val="0011267F"/>
    <w:rsid w:val="00115FD6"/>
    <w:rsid w:val="00116937"/>
    <w:rsid w:val="00120ED2"/>
    <w:rsid w:val="0012315D"/>
    <w:rsid w:val="00124F66"/>
    <w:rsid w:val="00126410"/>
    <w:rsid w:val="0013140A"/>
    <w:rsid w:val="0013333D"/>
    <w:rsid w:val="001422E2"/>
    <w:rsid w:val="0014235B"/>
    <w:rsid w:val="001432B7"/>
    <w:rsid w:val="00145462"/>
    <w:rsid w:val="0014658E"/>
    <w:rsid w:val="00151BB8"/>
    <w:rsid w:val="00152BDC"/>
    <w:rsid w:val="001534C4"/>
    <w:rsid w:val="00155556"/>
    <w:rsid w:val="00164771"/>
    <w:rsid w:val="0016526C"/>
    <w:rsid w:val="001652C9"/>
    <w:rsid w:val="00165D23"/>
    <w:rsid w:val="00165D98"/>
    <w:rsid w:val="00166FF5"/>
    <w:rsid w:val="001700CB"/>
    <w:rsid w:val="001711FE"/>
    <w:rsid w:val="00171C6D"/>
    <w:rsid w:val="00172E0E"/>
    <w:rsid w:val="00174576"/>
    <w:rsid w:val="0017480B"/>
    <w:rsid w:val="0017488C"/>
    <w:rsid w:val="001765EB"/>
    <w:rsid w:val="0017661C"/>
    <w:rsid w:val="00176D4A"/>
    <w:rsid w:val="0018029A"/>
    <w:rsid w:val="0018200D"/>
    <w:rsid w:val="00182F13"/>
    <w:rsid w:val="00183377"/>
    <w:rsid w:val="00187C7F"/>
    <w:rsid w:val="001909D4"/>
    <w:rsid w:val="00193151"/>
    <w:rsid w:val="00193874"/>
    <w:rsid w:val="00194BE7"/>
    <w:rsid w:val="00194C97"/>
    <w:rsid w:val="00195169"/>
    <w:rsid w:val="001976CC"/>
    <w:rsid w:val="001A3315"/>
    <w:rsid w:val="001A3D81"/>
    <w:rsid w:val="001A3FDB"/>
    <w:rsid w:val="001A5136"/>
    <w:rsid w:val="001A56F1"/>
    <w:rsid w:val="001A57C7"/>
    <w:rsid w:val="001A65BF"/>
    <w:rsid w:val="001A6DD9"/>
    <w:rsid w:val="001B14A7"/>
    <w:rsid w:val="001B4EB6"/>
    <w:rsid w:val="001B6A9C"/>
    <w:rsid w:val="001B7A21"/>
    <w:rsid w:val="001C0D05"/>
    <w:rsid w:val="001C18C9"/>
    <w:rsid w:val="001C1C29"/>
    <w:rsid w:val="001D1DDD"/>
    <w:rsid w:val="001D2611"/>
    <w:rsid w:val="001D3232"/>
    <w:rsid w:val="001D3A93"/>
    <w:rsid w:val="001D5AD8"/>
    <w:rsid w:val="001E08AC"/>
    <w:rsid w:val="001E1FD4"/>
    <w:rsid w:val="001E2778"/>
    <w:rsid w:val="001E5F2A"/>
    <w:rsid w:val="001E6B09"/>
    <w:rsid w:val="001E6BCE"/>
    <w:rsid w:val="001E7278"/>
    <w:rsid w:val="001E7FC4"/>
    <w:rsid w:val="001F0605"/>
    <w:rsid w:val="001F2CDD"/>
    <w:rsid w:val="001F474E"/>
    <w:rsid w:val="001F514D"/>
    <w:rsid w:val="001F629F"/>
    <w:rsid w:val="001F683D"/>
    <w:rsid w:val="00200E22"/>
    <w:rsid w:val="00201020"/>
    <w:rsid w:val="002032E3"/>
    <w:rsid w:val="0020347F"/>
    <w:rsid w:val="00203855"/>
    <w:rsid w:val="0020637E"/>
    <w:rsid w:val="00211302"/>
    <w:rsid w:val="00212BFF"/>
    <w:rsid w:val="00213A45"/>
    <w:rsid w:val="002144A7"/>
    <w:rsid w:val="00214B11"/>
    <w:rsid w:val="00221101"/>
    <w:rsid w:val="00221E83"/>
    <w:rsid w:val="00224F24"/>
    <w:rsid w:val="00234253"/>
    <w:rsid w:val="002353C6"/>
    <w:rsid w:val="00237E5B"/>
    <w:rsid w:val="0024030C"/>
    <w:rsid w:val="00242B5D"/>
    <w:rsid w:val="00244181"/>
    <w:rsid w:val="00244FA3"/>
    <w:rsid w:val="00250D17"/>
    <w:rsid w:val="002553DA"/>
    <w:rsid w:val="002608D8"/>
    <w:rsid w:val="002625AF"/>
    <w:rsid w:val="00263407"/>
    <w:rsid w:val="00266B81"/>
    <w:rsid w:val="0027014D"/>
    <w:rsid w:val="002715DB"/>
    <w:rsid w:val="002720BE"/>
    <w:rsid w:val="00277FCC"/>
    <w:rsid w:val="002806E8"/>
    <w:rsid w:val="00285A10"/>
    <w:rsid w:val="00286FFA"/>
    <w:rsid w:val="00291ED8"/>
    <w:rsid w:val="00293951"/>
    <w:rsid w:val="00293E76"/>
    <w:rsid w:val="002942CB"/>
    <w:rsid w:val="0029591F"/>
    <w:rsid w:val="002A05B3"/>
    <w:rsid w:val="002A0F8F"/>
    <w:rsid w:val="002A3177"/>
    <w:rsid w:val="002A46AD"/>
    <w:rsid w:val="002B334F"/>
    <w:rsid w:val="002B72E1"/>
    <w:rsid w:val="002C258C"/>
    <w:rsid w:val="002C2C6B"/>
    <w:rsid w:val="002C3E0B"/>
    <w:rsid w:val="002C7086"/>
    <w:rsid w:val="002C73B9"/>
    <w:rsid w:val="002D037E"/>
    <w:rsid w:val="002D1891"/>
    <w:rsid w:val="002D36ED"/>
    <w:rsid w:val="002D3BD2"/>
    <w:rsid w:val="002D6A60"/>
    <w:rsid w:val="002E1A92"/>
    <w:rsid w:val="002E3B5B"/>
    <w:rsid w:val="002E43E2"/>
    <w:rsid w:val="002E54B9"/>
    <w:rsid w:val="002F019F"/>
    <w:rsid w:val="002F1B16"/>
    <w:rsid w:val="002F283D"/>
    <w:rsid w:val="002F2B33"/>
    <w:rsid w:val="002F63F5"/>
    <w:rsid w:val="002F7D36"/>
    <w:rsid w:val="0030039F"/>
    <w:rsid w:val="00302021"/>
    <w:rsid w:val="00305CDE"/>
    <w:rsid w:val="0030678D"/>
    <w:rsid w:val="0030759E"/>
    <w:rsid w:val="003079E4"/>
    <w:rsid w:val="00312562"/>
    <w:rsid w:val="0031484A"/>
    <w:rsid w:val="003148BA"/>
    <w:rsid w:val="00316AB3"/>
    <w:rsid w:val="003172E9"/>
    <w:rsid w:val="00317387"/>
    <w:rsid w:val="003178EC"/>
    <w:rsid w:val="00321460"/>
    <w:rsid w:val="00321BA0"/>
    <w:rsid w:val="003223B8"/>
    <w:rsid w:val="00325E25"/>
    <w:rsid w:val="003353EA"/>
    <w:rsid w:val="00335741"/>
    <w:rsid w:val="00340E2E"/>
    <w:rsid w:val="0034160E"/>
    <w:rsid w:val="003438B1"/>
    <w:rsid w:val="00343A49"/>
    <w:rsid w:val="00343E01"/>
    <w:rsid w:val="00346E62"/>
    <w:rsid w:val="00353AB6"/>
    <w:rsid w:val="00354D2D"/>
    <w:rsid w:val="00355903"/>
    <w:rsid w:val="0036016C"/>
    <w:rsid w:val="00360FC6"/>
    <w:rsid w:val="00361A99"/>
    <w:rsid w:val="00362064"/>
    <w:rsid w:val="00363DDD"/>
    <w:rsid w:val="0036594A"/>
    <w:rsid w:val="00365E50"/>
    <w:rsid w:val="003666CC"/>
    <w:rsid w:val="00367A46"/>
    <w:rsid w:val="00367C7F"/>
    <w:rsid w:val="003704F2"/>
    <w:rsid w:val="00370E79"/>
    <w:rsid w:val="00373EE8"/>
    <w:rsid w:val="00374C2E"/>
    <w:rsid w:val="0038008F"/>
    <w:rsid w:val="003803A6"/>
    <w:rsid w:val="00382207"/>
    <w:rsid w:val="00382635"/>
    <w:rsid w:val="00384461"/>
    <w:rsid w:val="00385186"/>
    <w:rsid w:val="003876AE"/>
    <w:rsid w:val="00392599"/>
    <w:rsid w:val="00393E9E"/>
    <w:rsid w:val="00396948"/>
    <w:rsid w:val="00397104"/>
    <w:rsid w:val="00397327"/>
    <w:rsid w:val="00397570"/>
    <w:rsid w:val="003A0137"/>
    <w:rsid w:val="003A200A"/>
    <w:rsid w:val="003A2EA9"/>
    <w:rsid w:val="003A475E"/>
    <w:rsid w:val="003A4E27"/>
    <w:rsid w:val="003A5DFD"/>
    <w:rsid w:val="003A5F61"/>
    <w:rsid w:val="003A61ED"/>
    <w:rsid w:val="003A6C80"/>
    <w:rsid w:val="003A7FCB"/>
    <w:rsid w:val="003B0D6D"/>
    <w:rsid w:val="003B1FE8"/>
    <w:rsid w:val="003B4B31"/>
    <w:rsid w:val="003C173E"/>
    <w:rsid w:val="003C256C"/>
    <w:rsid w:val="003C29B0"/>
    <w:rsid w:val="003C37F0"/>
    <w:rsid w:val="003C4F29"/>
    <w:rsid w:val="003C50F6"/>
    <w:rsid w:val="003C53BD"/>
    <w:rsid w:val="003C7B72"/>
    <w:rsid w:val="003D161F"/>
    <w:rsid w:val="003D261E"/>
    <w:rsid w:val="003D4480"/>
    <w:rsid w:val="003D4BA7"/>
    <w:rsid w:val="003E0F62"/>
    <w:rsid w:val="003E6456"/>
    <w:rsid w:val="003E6637"/>
    <w:rsid w:val="003E6873"/>
    <w:rsid w:val="003E6E39"/>
    <w:rsid w:val="003F1824"/>
    <w:rsid w:val="003F1BA3"/>
    <w:rsid w:val="003F2B8E"/>
    <w:rsid w:val="003F7B44"/>
    <w:rsid w:val="004003CD"/>
    <w:rsid w:val="00402AED"/>
    <w:rsid w:val="00411382"/>
    <w:rsid w:val="00411DCE"/>
    <w:rsid w:val="00412B96"/>
    <w:rsid w:val="00413072"/>
    <w:rsid w:val="0041320D"/>
    <w:rsid w:val="0041397E"/>
    <w:rsid w:val="00414E1E"/>
    <w:rsid w:val="004152D8"/>
    <w:rsid w:val="00417131"/>
    <w:rsid w:val="004179EB"/>
    <w:rsid w:val="00421E8E"/>
    <w:rsid w:val="00422825"/>
    <w:rsid w:val="00422967"/>
    <w:rsid w:val="004248D7"/>
    <w:rsid w:val="00424DA8"/>
    <w:rsid w:val="00427182"/>
    <w:rsid w:val="004276F3"/>
    <w:rsid w:val="004331EF"/>
    <w:rsid w:val="004345F9"/>
    <w:rsid w:val="00434DE0"/>
    <w:rsid w:val="0043635A"/>
    <w:rsid w:val="004401EF"/>
    <w:rsid w:val="00445C9C"/>
    <w:rsid w:val="00450F5B"/>
    <w:rsid w:val="0045338A"/>
    <w:rsid w:val="004551D0"/>
    <w:rsid w:val="00456C83"/>
    <w:rsid w:val="0045770B"/>
    <w:rsid w:val="004612A5"/>
    <w:rsid w:val="0046502E"/>
    <w:rsid w:val="00466184"/>
    <w:rsid w:val="004671A4"/>
    <w:rsid w:val="00467887"/>
    <w:rsid w:val="0047046B"/>
    <w:rsid w:val="00472BE8"/>
    <w:rsid w:val="0047361D"/>
    <w:rsid w:val="00475D17"/>
    <w:rsid w:val="004803B4"/>
    <w:rsid w:val="0048089B"/>
    <w:rsid w:val="00482B61"/>
    <w:rsid w:val="00483B91"/>
    <w:rsid w:val="00487F12"/>
    <w:rsid w:val="00491362"/>
    <w:rsid w:val="00493D17"/>
    <w:rsid w:val="004967AD"/>
    <w:rsid w:val="004A0B2A"/>
    <w:rsid w:val="004A102B"/>
    <w:rsid w:val="004A1270"/>
    <w:rsid w:val="004A1F9C"/>
    <w:rsid w:val="004A208C"/>
    <w:rsid w:val="004A3620"/>
    <w:rsid w:val="004A4BC6"/>
    <w:rsid w:val="004A65DC"/>
    <w:rsid w:val="004B3893"/>
    <w:rsid w:val="004B72B9"/>
    <w:rsid w:val="004B76D2"/>
    <w:rsid w:val="004C13EF"/>
    <w:rsid w:val="004C36EA"/>
    <w:rsid w:val="004C3FB2"/>
    <w:rsid w:val="004C4016"/>
    <w:rsid w:val="004C7D62"/>
    <w:rsid w:val="004D2A57"/>
    <w:rsid w:val="004D689A"/>
    <w:rsid w:val="004D723C"/>
    <w:rsid w:val="004E3B8C"/>
    <w:rsid w:val="004E5BB8"/>
    <w:rsid w:val="004E5DD2"/>
    <w:rsid w:val="004F0FA2"/>
    <w:rsid w:val="004F1508"/>
    <w:rsid w:val="004F298A"/>
    <w:rsid w:val="004F476A"/>
    <w:rsid w:val="004F483C"/>
    <w:rsid w:val="004F7F08"/>
    <w:rsid w:val="005004C7"/>
    <w:rsid w:val="00500507"/>
    <w:rsid w:val="00500640"/>
    <w:rsid w:val="00501883"/>
    <w:rsid w:val="0050270D"/>
    <w:rsid w:val="00503BC9"/>
    <w:rsid w:val="00504FD8"/>
    <w:rsid w:val="00506534"/>
    <w:rsid w:val="005067B0"/>
    <w:rsid w:val="0051365E"/>
    <w:rsid w:val="00515DC8"/>
    <w:rsid w:val="00515DE9"/>
    <w:rsid w:val="00516591"/>
    <w:rsid w:val="0051778C"/>
    <w:rsid w:val="00520FEE"/>
    <w:rsid w:val="0052331C"/>
    <w:rsid w:val="005240F3"/>
    <w:rsid w:val="00524B74"/>
    <w:rsid w:val="0052594E"/>
    <w:rsid w:val="005263C1"/>
    <w:rsid w:val="00526D74"/>
    <w:rsid w:val="00527196"/>
    <w:rsid w:val="005274A7"/>
    <w:rsid w:val="00530529"/>
    <w:rsid w:val="00531829"/>
    <w:rsid w:val="00534963"/>
    <w:rsid w:val="00535402"/>
    <w:rsid w:val="005358D6"/>
    <w:rsid w:val="00536706"/>
    <w:rsid w:val="00536FF3"/>
    <w:rsid w:val="00542284"/>
    <w:rsid w:val="00542335"/>
    <w:rsid w:val="0054612A"/>
    <w:rsid w:val="005464DF"/>
    <w:rsid w:val="00550D7E"/>
    <w:rsid w:val="00553A8E"/>
    <w:rsid w:val="00556D56"/>
    <w:rsid w:val="005636B5"/>
    <w:rsid w:val="00564CE3"/>
    <w:rsid w:val="00565066"/>
    <w:rsid w:val="00565EF6"/>
    <w:rsid w:val="005713FF"/>
    <w:rsid w:val="005730AF"/>
    <w:rsid w:val="005731FD"/>
    <w:rsid w:val="00575AB8"/>
    <w:rsid w:val="00576362"/>
    <w:rsid w:val="00576ECF"/>
    <w:rsid w:val="00576FB8"/>
    <w:rsid w:val="00583023"/>
    <w:rsid w:val="00590223"/>
    <w:rsid w:val="00590303"/>
    <w:rsid w:val="00590A60"/>
    <w:rsid w:val="00590C74"/>
    <w:rsid w:val="00591DDC"/>
    <w:rsid w:val="00591F46"/>
    <w:rsid w:val="00592056"/>
    <w:rsid w:val="00592921"/>
    <w:rsid w:val="005958DA"/>
    <w:rsid w:val="005A0EC6"/>
    <w:rsid w:val="005A30C9"/>
    <w:rsid w:val="005A3C05"/>
    <w:rsid w:val="005A439A"/>
    <w:rsid w:val="005A4498"/>
    <w:rsid w:val="005A6B05"/>
    <w:rsid w:val="005B09C7"/>
    <w:rsid w:val="005B185C"/>
    <w:rsid w:val="005B4E6B"/>
    <w:rsid w:val="005B6A7C"/>
    <w:rsid w:val="005C0C89"/>
    <w:rsid w:val="005C1068"/>
    <w:rsid w:val="005C15AD"/>
    <w:rsid w:val="005C172C"/>
    <w:rsid w:val="005C18E7"/>
    <w:rsid w:val="005C480B"/>
    <w:rsid w:val="005C6FA1"/>
    <w:rsid w:val="005D1458"/>
    <w:rsid w:val="005D2663"/>
    <w:rsid w:val="005D42AD"/>
    <w:rsid w:val="005D67F3"/>
    <w:rsid w:val="005D6ADA"/>
    <w:rsid w:val="005D6F11"/>
    <w:rsid w:val="005D76D9"/>
    <w:rsid w:val="005E18D6"/>
    <w:rsid w:val="005E1A9D"/>
    <w:rsid w:val="005E1BA8"/>
    <w:rsid w:val="005E2313"/>
    <w:rsid w:val="005E45E6"/>
    <w:rsid w:val="005E517D"/>
    <w:rsid w:val="005F02B8"/>
    <w:rsid w:val="005F091D"/>
    <w:rsid w:val="005F34D5"/>
    <w:rsid w:val="005F45EA"/>
    <w:rsid w:val="005F6398"/>
    <w:rsid w:val="00603659"/>
    <w:rsid w:val="00607094"/>
    <w:rsid w:val="00610612"/>
    <w:rsid w:val="0061532E"/>
    <w:rsid w:val="006153CB"/>
    <w:rsid w:val="00616B0D"/>
    <w:rsid w:val="00623BF1"/>
    <w:rsid w:val="006252A7"/>
    <w:rsid w:val="00625C5C"/>
    <w:rsid w:val="00626C0E"/>
    <w:rsid w:val="00626E00"/>
    <w:rsid w:val="00627ED6"/>
    <w:rsid w:val="00630C3D"/>
    <w:rsid w:val="006322C6"/>
    <w:rsid w:val="006325B3"/>
    <w:rsid w:val="00633112"/>
    <w:rsid w:val="00635327"/>
    <w:rsid w:val="006354CF"/>
    <w:rsid w:val="00636582"/>
    <w:rsid w:val="00636E62"/>
    <w:rsid w:val="0063723C"/>
    <w:rsid w:val="006420A1"/>
    <w:rsid w:val="0064280C"/>
    <w:rsid w:val="00647E76"/>
    <w:rsid w:val="00653CD2"/>
    <w:rsid w:val="006557DD"/>
    <w:rsid w:val="0066157C"/>
    <w:rsid w:val="00662367"/>
    <w:rsid w:val="00662D27"/>
    <w:rsid w:val="00663485"/>
    <w:rsid w:val="00663C2A"/>
    <w:rsid w:val="00664929"/>
    <w:rsid w:val="00666263"/>
    <w:rsid w:val="006765C5"/>
    <w:rsid w:val="0067662F"/>
    <w:rsid w:val="00677D27"/>
    <w:rsid w:val="0068007C"/>
    <w:rsid w:val="00681DE1"/>
    <w:rsid w:val="0068253C"/>
    <w:rsid w:val="00682F24"/>
    <w:rsid w:val="00683401"/>
    <w:rsid w:val="00686342"/>
    <w:rsid w:val="00690A02"/>
    <w:rsid w:val="00691889"/>
    <w:rsid w:val="00693361"/>
    <w:rsid w:val="0069346C"/>
    <w:rsid w:val="00694BD1"/>
    <w:rsid w:val="00694FA4"/>
    <w:rsid w:val="0069630B"/>
    <w:rsid w:val="0069788A"/>
    <w:rsid w:val="006A17A0"/>
    <w:rsid w:val="006A40BA"/>
    <w:rsid w:val="006A5E89"/>
    <w:rsid w:val="006A6F81"/>
    <w:rsid w:val="006A74F5"/>
    <w:rsid w:val="006A76F5"/>
    <w:rsid w:val="006B1B99"/>
    <w:rsid w:val="006B2BB5"/>
    <w:rsid w:val="006B32C2"/>
    <w:rsid w:val="006B4581"/>
    <w:rsid w:val="006B4E21"/>
    <w:rsid w:val="006B4E27"/>
    <w:rsid w:val="006B6EF2"/>
    <w:rsid w:val="006C2810"/>
    <w:rsid w:val="006C4043"/>
    <w:rsid w:val="006C4805"/>
    <w:rsid w:val="006C6A2E"/>
    <w:rsid w:val="006C6CE2"/>
    <w:rsid w:val="006C7959"/>
    <w:rsid w:val="006C79B6"/>
    <w:rsid w:val="006C7DB3"/>
    <w:rsid w:val="006D121E"/>
    <w:rsid w:val="006D18B5"/>
    <w:rsid w:val="006D28F6"/>
    <w:rsid w:val="006D3322"/>
    <w:rsid w:val="006D5C31"/>
    <w:rsid w:val="006D60B4"/>
    <w:rsid w:val="006D62B8"/>
    <w:rsid w:val="006D6EAA"/>
    <w:rsid w:val="006D7107"/>
    <w:rsid w:val="006E04F3"/>
    <w:rsid w:val="006E2880"/>
    <w:rsid w:val="006E2C71"/>
    <w:rsid w:val="006E3242"/>
    <w:rsid w:val="006E56D8"/>
    <w:rsid w:val="006F0371"/>
    <w:rsid w:val="006F25D6"/>
    <w:rsid w:val="006F3BCF"/>
    <w:rsid w:val="006F48A5"/>
    <w:rsid w:val="006F5ACC"/>
    <w:rsid w:val="00702592"/>
    <w:rsid w:val="00704ACC"/>
    <w:rsid w:val="00705652"/>
    <w:rsid w:val="00705896"/>
    <w:rsid w:val="0070645A"/>
    <w:rsid w:val="00710725"/>
    <w:rsid w:val="00711C7C"/>
    <w:rsid w:val="00712D92"/>
    <w:rsid w:val="00714766"/>
    <w:rsid w:val="007149D3"/>
    <w:rsid w:val="00715300"/>
    <w:rsid w:val="00720519"/>
    <w:rsid w:val="00722A61"/>
    <w:rsid w:val="007246BF"/>
    <w:rsid w:val="0072732B"/>
    <w:rsid w:val="00730C92"/>
    <w:rsid w:val="00732278"/>
    <w:rsid w:val="00740F56"/>
    <w:rsid w:val="00741E19"/>
    <w:rsid w:val="00743D84"/>
    <w:rsid w:val="00744990"/>
    <w:rsid w:val="007527D2"/>
    <w:rsid w:val="007532C3"/>
    <w:rsid w:val="00757D2B"/>
    <w:rsid w:val="0076149E"/>
    <w:rsid w:val="00770D02"/>
    <w:rsid w:val="00773B6F"/>
    <w:rsid w:val="00776884"/>
    <w:rsid w:val="0077708A"/>
    <w:rsid w:val="00780E2E"/>
    <w:rsid w:val="00781A6B"/>
    <w:rsid w:val="007841CC"/>
    <w:rsid w:val="00784930"/>
    <w:rsid w:val="00785347"/>
    <w:rsid w:val="00785C27"/>
    <w:rsid w:val="0078710F"/>
    <w:rsid w:val="00787AA4"/>
    <w:rsid w:val="0079060A"/>
    <w:rsid w:val="00790936"/>
    <w:rsid w:val="00790CDD"/>
    <w:rsid w:val="00791E8F"/>
    <w:rsid w:val="007A65A6"/>
    <w:rsid w:val="007B1C0A"/>
    <w:rsid w:val="007B5944"/>
    <w:rsid w:val="007B5BCA"/>
    <w:rsid w:val="007B61A2"/>
    <w:rsid w:val="007B69C3"/>
    <w:rsid w:val="007B7375"/>
    <w:rsid w:val="007B76CE"/>
    <w:rsid w:val="007C2AE3"/>
    <w:rsid w:val="007C32A2"/>
    <w:rsid w:val="007C506F"/>
    <w:rsid w:val="007D10F0"/>
    <w:rsid w:val="007D20E0"/>
    <w:rsid w:val="007D2231"/>
    <w:rsid w:val="007D3009"/>
    <w:rsid w:val="007D3BB7"/>
    <w:rsid w:val="007D47C2"/>
    <w:rsid w:val="007D47F1"/>
    <w:rsid w:val="007D5A5C"/>
    <w:rsid w:val="007E3771"/>
    <w:rsid w:val="007E4590"/>
    <w:rsid w:val="007E6C1B"/>
    <w:rsid w:val="007F37CC"/>
    <w:rsid w:val="007F3C64"/>
    <w:rsid w:val="007F4287"/>
    <w:rsid w:val="007F4F93"/>
    <w:rsid w:val="007F7A63"/>
    <w:rsid w:val="007F7D71"/>
    <w:rsid w:val="007F7F52"/>
    <w:rsid w:val="00800E42"/>
    <w:rsid w:val="00802926"/>
    <w:rsid w:val="00802AE7"/>
    <w:rsid w:val="008036CA"/>
    <w:rsid w:val="008100B6"/>
    <w:rsid w:val="00812D45"/>
    <w:rsid w:val="00814CFF"/>
    <w:rsid w:val="00815BE6"/>
    <w:rsid w:val="00815F46"/>
    <w:rsid w:val="00816E4C"/>
    <w:rsid w:val="00820483"/>
    <w:rsid w:val="00820F05"/>
    <w:rsid w:val="00831E13"/>
    <w:rsid w:val="008338DC"/>
    <w:rsid w:val="008344FC"/>
    <w:rsid w:val="00834D6F"/>
    <w:rsid w:val="00834F39"/>
    <w:rsid w:val="008358C5"/>
    <w:rsid w:val="00836371"/>
    <w:rsid w:val="00836F5B"/>
    <w:rsid w:val="00840704"/>
    <w:rsid w:val="008417A3"/>
    <w:rsid w:val="00843113"/>
    <w:rsid w:val="00844E8F"/>
    <w:rsid w:val="00845725"/>
    <w:rsid w:val="00846891"/>
    <w:rsid w:val="0085063B"/>
    <w:rsid w:val="00851A30"/>
    <w:rsid w:val="00852A68"/>
    <w:rsid w:val="00853151"/>
    <w:rsid w:val="00853E11"/>
    <w:rsid w:val="00854532"/>
    <w:rsid w:val="00854684"/>
    <w:rsid w:val="008551D4"/>
    <w:rsid w:val="008553FE"/>
    <w:rsid w:val="00856E10"/>
    <w:rsid w:val="00861BE5"/>
    <w:rsid w:val="00862AF4"/>
    <w:rsid w:val="00863100"/>
    <w:rsid w:val="00864CED"/>
    <w:rsid w:val="008652FF"/>
    <w:rsid w:val="00865E48"/>
    <w:rsid w:val="008667F3"/>
    <w:rsid w:val="00872D07"/>
    <w:rsid w:val="00874F4C"/>
    <w:rsid w:val="00880436"/>
    <w:rsid w:val="00880449"/>
    <w:rsid w:val="00885FD6"/>
    <w:rsid w:val="00886E94"/>
    <w:rsid w:val="00891AEA"/>
    <w:rsid w:val="00893298"/>
    <w:rsid w:val="00897CC2"/>
    <w:rsid w:val="008A0C7E"/>
    <w:rsid w:val="008A1D99"/>
    <w:rsid w:val="008A3883"/>
    <w:rsid w:val="008A47D4"/>
    <w:rsid w:val="008A5A43"/>
    <w:rsid w:val="008A5E26"/>
    <w:rsid w:val="008A6201"/>
    <w:rsid w:val="008A7D4E"/>
    <w:rsid w:val="008B1FFB"/>
    <w:rsid w:val="008C0DA4"/>
    <w:rsid w:val="008C1CC0"/>
    <w:rsid w:val="008C215A"/>
    <w:rsid w:val="008C2555"/>
    <w:rsid w:val="008C2BF2"/>
    <w:rsid w:val="008C5656"/>
    <w:rsid w:val="008C5F10"/>
    <w:rsid w:val="008C701F"/>
    <w:rsid w:val="008D096D"/>
    <w:rsid w:val="008D2876"/>
    <w:rsid w:val="008D287C"/>
    <w:rsid w:val="008D4DB1"/>
    <w:rsid w:val="008D519B"/>
    <w:rsid w:val="008D7A7A"/>
    <w:rsid w:val="008E0072"/>
    <w:rsid w:val="008E057D"/>
    <w:rsid w:val="008E0C0F"/>
    <w:rsid w:val="008E1D5E"/>
    <w:rsid w:val="008E48F7"/>
    <w:rsid w:val="008E60DD"/>
    <w:rsid w:val="008E77F2"/>
    <w:rsid w:val="008E7BDE"/>
    <w:rsid w:val="008F04AC"/>
    <w:rsid w:val="008F2E15"/>
    <w:rsid w:val="008F346E"/>
    <w:rsid w:val="008F4F8A"/>
    <w:rsid w:val="009004AF"/>
    <w:rsid w:val="0090108F"/>
    <w:rsid w:val="00901D31"/>
    <w:rsid w:val="00903C0E"/>
    <w:rsid w:val="00904BF7"/>
    <w:rsid w:val="009050CD"/>
    <w:rsid w:val="00906D83"/>
    <w:rsid w:val="00906D86"/>
    <w:rsid w:val="00907007"/>
    <w:rsid w:val="0090719F"/>
    <w:rsid w:val="00907A43"/>
    <w:rsid w:val="0091080E"/>
    <w:rsid w:val="009162F7"/>
    <w:rsid w:val="009165BE"/>
    <w:rsid w:val="00920FB5"/>
    <w:rsid w:val="00921254"/>
    <w:rsid w:val="00921294"/>
    <w:rsid w:val="00923BE5"/>
    <w:rsid w:val="00924691"/>
    <w:rsid w:val="00924A20"/>
    <w:rsid w:val="009326D9"/>
    <w:rsid w:val="0093371E"/>
    <w:rsid w:val="0093410D"/>
    <w:rsid w:val="009345B3"/>
    <w:rsid w:val="00934C3D"/>
    <w:rsid w:val="00936C2F"/>
    <w:rsid w:val="00937E40"/>
    <w:rsid w:val="0094487E"/>
    <w:rsid w:val="0094512F"/>
    <w:rsid w:val="00945B8B"/>
    <w:rsid w:val="009478CC"/>
    <w:rsid w:val="0095342C"/>
    <w:rsid w:val="00955248"/>
    <w:rsid w:val="009552D8"/>
    <w:rsid w:val="00955A26"/>
    <w:rsid w:val="00955A3C"/>
    <w:rsid w:val="00955F35"/>
    <w:rsid w:val="00956EC6"/>
    <w:rsid w:val="009575F3"/>
    <w:rsid w:val="00960C0E"/>
    <w:rsid w:val="009614CD"/>
    <w:rsid w:val="00962A25"/>
    <w:rsid w:val="0096682A"/>
    <w:rsid w:val="009672FC"/>
    <w:rsid w:val="00967E59"/>
    <w:rsid w:val="00970FB5"/>
    <w:rsid w:val="0097359F"/>
    <w:rsid w:val="00973807"/>
    <w:rsid w:val="0097516E"/>
    <w:rsid w:val="009756B6"/>
    <w:rsid w:val="00975708"/>
    <w:rsid w:val="009779C6"/>
    <w:rsid w:val="00977EEC"/>
    <w:rsid w:val="00981AE1"/>
    <w:rsid w:val="00987869"/>
    <w:rsid w:val="0099055F"/>
    <w:rsid w:val="009918DE"/>
    <w:rsid w:val="00992500"/>
    <w:rsid w:val="009A15C8"/>
    <w:rsid w:val="009A3ED9"/>
    <w:rsid w:val="009A54C5"/>
    <w:rsid w:val="009A60DE"/>
    <w:rsid w:val="009B0202"/>
    <w:rsid w:val="009B057C"/>
    <w:rsid w:val="009B1631"/>
    <w:rsid w:val="009B52EC"/>
    <w:rsid w:val="009B5AC1"/>
    <w:rsid w:val="009C2A89"/>
    <w:rsid w:val="009C2AF4"/>
    <w:rsid w:val="009C6E26"/>
    <w:rsid w:val="009C7212"/>
    <w:rsid w:val="009D0689"/>
    <w:rsid w:val="009D2281"/>
    <w:rsid w:val="009D24F4"/>
    <w:rsid w:val="009D2D63"/>
    <w:rsid w:val="009D3331"/>
    <w:rsid w:val="009E0B11"/>
    <w:rsid w:val="009E2051"/>
    <w:rsid w:val="009E336A"/>
    <w:rsid w:val="009E4968"/>
    <w:rsid w:val="009E779F"/>
    <w:rsid w:val="009F2480"/>
    <w:rsid w:val="009F4734"/>
    <w:rsid w:val="00A01029"/>
    <w:rsid w:val="00A01201"/>
    <w:rsid w:val="00A0710B"/>
    <w:rsid w:val="00A07166"/>
    <w:rsid w:val="00A16828"/>
    <w:rsid w:val="00A201C3"/>
    <w:rsid w:val="00A259A5"/>
    <w:rsid w:val="00A272FA"/>
    <w:rsid w:val="00A31DF4"/>
    <w:rsid w:val="00A332F4"/>
    <w:rsid w:val="00A35549"/>
    <w:rsid w:val="00A35BCE"/>
    <w:rsid w:val="00A35E30"/>
    <w:rsid w:val="00A368C1"/>
    <w:rsid w:val="00A36C73"/>
    <w:rsid w:val="00A37BAB"/>
    <w:rsid w:val="00A40A6F"/>
    <w:rsid w:val="00A40D9A"/>
    <w:rsid w:val="00A41866"/>
    <w:rsid w:val="00A42601"/>
    <w:rsid w:val="00A4524D"/>
    <w:rsid w:val="00A51D66"/>
    <w:rsid w:val="00A55C66"/>
    <w:rsid w:val="00A60D46"/>
    <w:rsid w:val="00A61B33"/>
    <w:rsid w:val="00A6397A"/>
    <w:rsid w:val="00A6581A"/>
    <w:rsid w:val="00A764FC"/>
    <w:rsid w:val="00A76714"/>
    <w:rsid w:val="00A831A2"/>
    <w:rsid w:val="00A85E93"/>
    <w:rsid w:val="00A875DD"/>
    <w:rsid w:val="00A91579"/>
    <w:rsid w:val="00A915C2"/>
    <w:rsid w:val="00A95A46"/>
    <w:rsid w:val="00A964BC"/>
    <w:rsid w:val="00AA0B20"/>
    <w:rsid w:val="00AA0BBD"/>
    <w:rsid w:val="00AA0FCD"/>
    <w:rsid w:val="00AA31EF"/>
    <w:rsid w:val="00AA4186"/>
    <w:rsid w:val="00AA7DA5"/>
    <w:rsid w:val="00AB1034"/>
    <w:rsid w:val="00AB1597"/>
    <w:rsid w:val="00AB4234"/>
    <w:rsid w:val="00AB6E1C"/>
    <w:rsid w:val="00AB6F8D"/>
    <w:rsid w:val="00AC07BC"/>
    <w:rsid w:val="00AC14B6"/>
    <w:rsid w:val="00AC35E9"/>
    <w:rsid w:val="00AC3A6E"/>
    <w:rsid w:val="00AC3B08"/>
    <w:rsid w:val="00AC44CB"/>
    <w:rsid w:val="00AC4B67"/>
    <w:rsid w:val="00AC4DFD"/>
    <w:rsid w:val="00AC52F5"/>
    <w:rsid w:val="00AC5363"/>
    <w:rsid w:val="00AC6CC7"/>
    <w:rsid w:val="00AC7A3E"/>
    <w:rsid w:val="00AD3226"/>
    <w:rsid w:val="00AD3ECD"/>
    <w:rsid w:val="00AD4210"/>
    <w:rsid w:val="00AD6463"/>
    <w:rsid w:val="00AD6661"/>
    <w:rsid w:val="00AD68EC"/>
    <w:rsid w:val="00AE0AB7"/>
    <w:rsid w:val="00AE6252"/>
    <w:rsid w:val="00AE64E8"/>
    <w:rsid w:val="00AE7943"/>
    <w:rsid w:val="00AF28D1"/>
    <w:rsid w:val="00AF2E2E"/>
    <w:rsid w:val="00B02304"/>
    <w:rsid w:val="00B06794"/>
    <w:rsid w:val="00B10918"/>
    <w:rsid w:val="00B11CAF"/>
    <w:rsid w:val="00B127AA"/>
    <w:rsid w:val="00B128A8"/>
    <w:rsid w:val="00B13978"/>
    <w:rsid w:val="00B145FF"/>
    <w:rsid w:val="00B15815"/>
    <w:rsid w:val="00B170E2"/>
    <w:rsid w:val="00B173CC"/>
    <w:rsid w:val="00B17A47"/>
    <w:rsid w:val="00B17C0E"/>
    <w:rsid w:val="00B21F38"/>
    <w:rsid w:val="00B24470"/>
    <w:rsid w:val="00B25651"/>
    <w:rsid w:val="00B256D5"/>
    <w:rsid w:val="00B262F2"/>
    <w:rsid w:val="00B34976"/>
    <w:rsid w:val="00B35AA6"/>
    <w:rsid w:val="00B35F85"/>
    <w:rsid w:val="00B36D48"/>
    <w:rsid w:val="00B378F3"/>
    <w:rsid w:val="00B37C81"/>
    <w:rsid w:val="00B41564"/>
    <w:rsid w:val="00B41AB9"/>
    <w:rsid w:val="00B41E7A"/>
    <w:rsid w:val="00B4424F"/>
    <w:rsid w:val="00B45A10"/>
    <w:rsid w:val="00B50D94"/>
    <w:rsid w:val="00B556C1"/>
    <w:rsid w:val="00B561EE"/>
    <w:rsid w:val="00B574F6"/>
    <w:rsid w:val="00B609F0"/>
    <w:rsid w:val="00B61484"/>
    <w:rsid w:val="00B61877"/>
    <w:rsid w:val="00B61F70"/>
    <w:rsid w:val="00B65458"/>
    <w:rsid w:val="00B70C89"/>
    <w:rsid w:val="00B7390E"/>
    <w:rsid w:val="00B7431E"/>
    <w:rsid w:val="00B76368"/>
    <w:rsid w:val="00B82772"/>
    <w:rsid w:val="00B86DB8"/>
    <w:rsid w:val="00B90F88"/>
    <w:rsid w:val="00B91DE6"/>
    <w:rsid w:val="00B9228B"/>
    <w:rsid w:val="00B92DE0"/>
    <w:rsid w:val="00B9442D"/>
    <w:rsid w:val="00B9648C"/>
    <w:rsid w:val="00B96AE7"/>
    <w:rsid w:val="00B96DF8"/>
    <w:rsid w:val="00B977B3"/>
    <w:rsid w:val="00B97FED"/>
    <w:rsid w:val="00BA1B4D"/>
    <w:rsid w:val="00BA2856"/>
    <w:rsid w:val="00BA3010"/>
    <w:rsid w:val="00BA3B23"/>
    <w:rsid w:val="00BA5B26"/>
    <w:rsid w:val="00BB30C9"/>
    <w:rsid w:val="00BB33B0"/>
    <w:rsid w:val="00BB3CCD"/>
    <w:rsid w:val="00BB42D1"/>
    <w:rsid w:val="00BB6257"/>
    <w:rsid w:val="00BB7181"/>
    <w:rsid w:val="00BB7699"/>
    <w:rsid w:val="00BC084F"/>
    <w:rsid w:val="00BC44B3"/>
    <w:rsid w:val="00BC4CC9"/>
    <w:rsid w:val="00BC5EEE"/>
    <w:rsid w:val="00BC7378"/>
    <w:rsid w:val="00BD05C7"/>
    <w:rsid w:val="00BD1785"/>
    <w:rsid w:val="00BD2BFA"/>
    <w:rsid w:val="00BD2EE2"/>
    <w:rsid w:val="00BD3E3B"/>
    <w:rsid w:val="00BD46A8"/>
    <w:rsid w:val="00BD4C3D"/>
    <w:rsid w:val="00BE43F7"/>
    <w:rsid w:val="00BE711F"/>
    <w:rsid w:val="00BF718F"/>
    <w:rsid w:val="00BF7CB2"/>
    <w:rsid w:val="00C05104"/>
    <w:rsid w:val="00C067CE"/>
    <w:rsid w:val="00C07804"/>
    <w:rsid w:val="00C0783C"/>
    <w:rsid w:val="00C1002C"/>
    <w:rsid w:val="00C10179"/>
    <w:rsid w:val="00C12492"/>
    <w:rsid w:val="00C12D65"/>
    <w:rsid w:val="00C22736"/>
    <w:rsid w:val="00C227CA"/>
    <w:rsid w:val="00C239F3"/>
    <w:rsid w:val="00C24A84"/>
    <w:rsid w:val="00C2621F"/>
    <w:rsid w:val="00C26231"/>
    <w:rsid w:val="00C27D45"/>
    <w:rsid w:val="00C34A1D"/>
    <w:rsid w:val="00C428E6"/>
    <w:rsid w:val="00C436E4"/>
    <w:rsid w:val="00C44E09"/>
    <w:rsid w:val="00C44E18"/>
    <w:rsid w:val="00C46683"/>
    <w:rsid w:val="00C4687C"/>
    <w:rsid w:val="00C477C9"/>
    <w:rsid w:val="00C47A8F"/>
    <w:rsid w:val="00C5436F"/>
    <w:rsid w:val="00C5466C"/>
    <w:rsid w:val="00C642AC"/>
    <w:rsid w:val="00C647A6"/>
    <w:rsid w:val="00C66886"/>
    <w:rsid w:val="00C67780"/>
    <w:rsid w:val="00C67E50"/>
    <w:rsid w:val="00C7224E"/>
    <w:rsid w:val="00C744CD"/>
    <w:rsid w:val="00C754B6"/>
    <w:rsid w:val="00C7625C"/>
    <w:rsid w:val="00C82FA7"/>
    <w:rsid w:val="00C858CD"/>
    <w:rsid w:val="00C91BD5"/>
    <w:rsid w:val="00C921BE"/>
    <w:rsid w:val="00C96D69"/>
    <w:rsid w:val="00C97D39"/>
    <w:rsid w:val="00CA0B42"/>
    <w:rsid w:val="00CA3594"/>
    <w:rsid w:val="00CA5B40"/>
    <w:rsid w:val="00CA62DE"/>
    <w:rsid w:val="00CA6A44"/>
    <w:rsid w:val="00CB2982"/>
    <w:rsid w:val="00CB3C17"/>
    <w:rsid w:val="00CB4ABD"/>
    <w:rsid w:val="00CB71F9"/>
    <w:rsid w:val="00CB76F8"/>
    <w:rsid w:val="00CC098B"/>
    <w:rsid w:val="00CC1C3C"/>
    <w:rsid w:val="00CC1EB8"/>
    <w:rsid w:val="00CC4E79"/>
    <w:rsid w:val="00CD11DC"/>
    <w:rsid w:val="00CD13A5"/>
    <w:rsid w:val="00CD1476"/>
    <w:rsid w:val="00CD3CA2"/>
    <w:rsid w:val="00CD69D1"/>
    <w:rsid w:val="00CE1A09"/>
    <w:rsid w:val="00CE1E74"/>
    <w:rsid w:val="00CE2380"/>
    <w:rsid w:val="00CE35C5"/>
    <w:rsid w:val="00CF2AAD"/>
    <w:rsid w:val="00CF4D34"/>
    <w:rsid w:val="00CF53ED"/>
    <w:rsid w:val="00CF5BCF"/>
    <w:rsid w:val="00CF6692"/>
    <w:rsid w:val="00D00874"/>
    <w:rsid w:val="00D0193E"/>
    <w:rsid w:val="00D01F8F"/>
    <w:rsid w:val="00D02BFC"/>
    <w:rsid w:val="00D05DAF"/>
    <w:rsid w:val="00D14F5D"/>
    <w:rsid w:val="00D151E6"/>
    <w:rsid w:val="00D153F1"/>
    <w:rsid w:val="00D16A8F"/>
    <w:rsid w:val="00D17C95"/>
    <w:rsid w:val="00D218DD"/>
    <w:rsid w:val="00D228C9"/>
    <w:rsid w:val="00D24187"/>
    <w:rsid w:val="00D24359"/>
    <w:rsid w:val="00D2543C"/>
    <w:rsid w:val="00D26C2E"/>
    <w:rsid w:val="00D27C65"/>
    <w:rsid w:val="00D32733"/>
    <w:rsid w:val="00D3449A"/>
    <w:rsid w:val="00D35AE6"/>
    <w:rsid w:val="00D40F13"/>
    <w:rsid w:val="00D43241"/>
    <w:rsid w:val="00D43421"/>
    <w:rsid w:val="00D50C10"/>
    <w:rsid w:val="00D523D9"/>
    <w:rsid w:val="00D529C5"/>
    <w:rsid w:val="00D5376D"/>
    <w:rsid w:val="00D53A4C"/>
    <w:rsid w:val="00D55F07"/>
    <w:rsid w:val="00D568BC"/>
    <w:rsid w:val="00D60F0B"/>
    <w:rsid w:val="00D634A0"/>
    <w:rsid w:val="00D6378C"/>
    <w:rsid w:val="00D6534B"/>
    <w:rsid w:val="00D654DA"/>
    <w:rsid w:val="00D6600F"/>
    <w:rsid w:val="00D66C7E"/>
    <w:rsid w:val="00D71F1B"/>
    <w:rsid w:val="00D72831"/>
    <w:rsid w:val="00D74981"/>
    <w:rsid w:val="00D8079C"/>
    <w:rsid w:val="00D8193A"/>
    <w:rsid w:val="00D82C50"/>
    <w:rsid w:val="00D82C9D"/>
    <w:rsid w:val="00D84422"/>
    <w:rsid w:val="00D84499"/>
    <w:rsid w:val="00D92DB4"/>
    <w:rsid w:val="00D92FD7"/>
    <w:rsid w:val="00D9390B"/>
    <w:rsid w:val="00D9483A"/>
    <w:rsid w:val="00D9484B"/>
    <w:rsid w:val="00D95971"/>
    <w:rsid w:val="00D96C5A"/>
    <w:rsid w:val="00D970BC"/>
    <w:rsid w:val="00DA1175"/>
    <w:rsid w:val="00DA1377"/>
    <w:rsid w:val="00DA28EA"/>
    <w:rsid w:val="00DA3E1B"/>
    <w:rsid w:val="00DA4D5C"/>
    <w:rsid w:val="00DA5095"/>
    <w:rsid w:val="00DA5A31"/>
    <w:rsid w:val="00DA5C1B"/>
    <w:rsid w:val="00DA625C"/>
    <w:rsid w:val="00DA64C7"/>
    <w:rsid w:val="00DB08CC"/>
    <w:rsid w:val="00DB13FC"/>
    <w:rsid w:val="00DB2B94"/>
    <w:rsid w:val="00DB2BC1"/>
    <w:rsid w:val="00DB4BB0"/>
    <w:rsid w:val="00DB5103"/>
    <w:rsid w:val="00DB5C46"/>
    <w:rsid w:val="00DB5F24"/>
    <w:rsid w:val="00DB6712"/>
    <w:rsid w:val="00DB7499"/>
    <w:rsid w:val="00DB78E9"/>
    <w:rsid w:val="00DC2775"/>
    <w:rsid w:val="00DC422E"/>
    <w:rsid w:val="00DC6D88"/>
    <w:rsid w:val="00DD263E"/>
    <w:rsid w:val="00DD3CC4"/>
    <w:rsid w:val="00DD4118"/>
    <w:rsid w:val="00DD465C"/>
    <w:rsid w:val="00DD4E00"/>
    <w:rsid w:val="00DD7418"/>
    <w:rsid w:val="00DD7DF6"/>
    <w:rsid w:val="00DE0C2B"/>
    <w:rsid w:val="00DE1759"/>
    <w:rsid w:val="00DE2A5E"/>
    <w:rsid w:val="00DE3B68"/>
    <w:rsid w:val="00DE636A"/>
    <w:rsid w:val="00DE6526"/>
    <w:rsid w:val="00DE6602"/>
    <w:rsid w:val="00DE6E37"/>
    <w:rsid w:val="00DE7DFE"/>
    <w:rsid w:val="00DF1E6E"/>
    <w:rsid w:val="00DF2ABD"/>
    <w:rsid w:val="00DF3649"/>
    <w:rsid w:val="00DF38EB"/>
    <w:rsid w:val="00DF4553"/>
    <w:rsid w:val="00DF6713"/>
    <w:rsid w:val="00E000DB"/>
    <w:rsid w:val="00E007DF"/>
    <w:rsid w:val="00E007FD"/>
    <w:rsid w:val="00E015CF"/>
    <w:rsid w:val="00E01B6C"/>
    <w:rsid w:val="00E03DED"/>
    <w:rsid w:val="00E05899"/>
    <w:rsid w:val="00E10350"/>
    <w:rsid w:val="00E116AF"/>
    <w:rsid w:val="00E12FB9"/>
    <w:rsid w:val="00E13C0E"/>
    <w:rsid w:val="00E17AB5"/>
    <w:rsid w:val="00E23FE0"/>
    <w:rsid w:val="00E30272"/>
    <w:rsid w:val="00E31A67"/>
    <w:rsid w:val="00E33929"/>
    <w:rsid w:val="00E360B1"/>
    <w:rsid w:val="00E4188C"/>
    <w:rsid w:val="00E4204A"/>
    <w:rsid w:val="00E42FBD"/>
    <w:rsid w:val="00E438BA"/>
    <w:rsid w:val="00E445DE"/>
    <w:rsid w:val="00E45613"/>
    <w:rsid w:val="00E4665C"/>
    <w:rsid w:val="00E4709A"/>
    <w:rsid w:val="00E52544"/>
    <w:rsid w:val="00E52A6F"/>
    <w:rsid w:val="00E531EC"/>
    <w:rsid w:val="00E53604"/>
    <w:rsid w:val="00E5368C"/>
    <w:rsid w:val="00E55461"/>
    <w:rsid w:val="00E6276A"/>
    <w:rsid w:val="00E639BE"/>
    <w:rsid w:val="00E63D54"/>
    <w:rsid w:val="00E71888"/>
    <w:rsid w:val="00E71FB3"/>
    <w:rsid w:val="00E761FF"/>
    <w:rsid w:val="00E77377"/>
    <w:rsid w:val="00E8009F"/>
    <w:rsid w:val="00E8028E"/>
    <w:rsid w:val="00E80981"/>
    <w:rsid w:val="00E844E6"/>
    <w:rsid w:val="00E86365"/>
    <w:rsid w:val="00E879B7"/>
    <w:rsid w:val="00E9038C"/>
    <w:rsid w:val="00E9673B"/>
    <w:rsid w:val="00E97092"/>
    <w:rsid w:val="00EA2A97"/>
    <w:rsid w:val="00EA2C40"/>
    <w:rsid w:val="00EA2EEB"/>
    <w:rsid w:val="00EA3BBD"/>
    <w:rsid w:val="00EA4364"/>
    <w:rsid w:val="00EA4B43"/>
    <w:rsid w:val="00EA5867"/>
    <w:rsid w:val="00EA7AD8"/>
    <w:rsid w:val="00EB088E"/>
    <w:rsid w:val="00EB19E5"/>
    <w:rsid w:val="00EB37F3"/>
    <w:rsid w:val="00EB5278"/>
    <w:rsid w:val="00EC28B3"/>
    <w:rsid w:val="00EC3997"/>
    <w:rsid w:val="00EC3EBE"/>
    <w:rsid w:val="00EC48E4"/>
    <w:rsid w:val="00ED1404"/>
    <w:rsid w:val="00ED2E0C"/>
    <w:rsid w:val="00ED2EEB"/>
    <w:rsid w:val="00ED3CD8"/>
    <w:rsid w:val="00ED6CE0"/>
    <w:rsid w:val="00ED74A6"/>
    <w:rsid w:val="00ED7957"/>
    <w:rsid w:val="00EE24BB"/>
    <w:rsid w:val="00EE2DA0"/>
    <w:rsid w:val="00EE4948"/>
    <w:rsid w:val="00EE4F32"/>
    <w:rsid w:val="00EE580B"/>
    <w:rsid w:val="00EE6D18"/>
    <w:rsid w:val="00EF159F"/>
    <w:rsid w:val="00EF17C8"/>
    <w:rsid w:val="00EF5075"/>
    <w:rsid w:val="00EF562D"/>
    <w:rsid w:val="00EF678E"/>
    <w:rsid w:val="00EF6C83"/>
    <w:rsid w:val="00F02E9C"/>
    <w:rsid w:val="00F0411B"/>
    <w:rsid w:val="00F04279"/>
    <w:rsid w:val="00F0789F"/>
    <w:rsid w:val="00F10D60"/>
    <w:rsid w:val="00F11091"/>
    <w:rsid w:val="00F11BE4"/>
    <w:rsid w:val="00F144C0"/>
    <w:rsid w:val="00F15153"/>
    <w:rsid w:val="00F17715"/>
    <w:rsid w:val="00F20CE7"/>
    <w:rsid w:val="00F23367"/>
    <w:rsid w:val="00F235D5"/>
    <w:rsid w:val="00F23E16"/>
    <w:rsid w:val="00F24812"/>
    <w:rsid w:val="00F270FB"/>
    <w:rsid w:val="00F27260"/>
    <w:rsid w:val="00F30321"/>
    <w:rsid w:val="00F3243E"/>
    <w:rsid w:val="00F36B15"/>
    <w:rsid w:val="00F405CB"/>
    <w:rsid w:val="00F41470"/>
    <w:rsid w:val="00F42897"/>
    <w:rsid w:val="00F457A3"/>
    <w:rsid w:val="00F45DC0"/>
    <w:rsid w:val="00F47470"/>
    <w:rsid w:val="00F53B1A"/>
    <w:rsid w:val="00F54CBB"/>
    <w:rsid w:val="00F559DA"/>
    <w:rsid w:val="00F569CE"/>
    <w:rsid w:val="00F56CAF"/>
    <w:rsid w:val="00F612EF"/>
    <w:rsid w:val="00F629E5"/>
    <w:rsid w:val="00F62B2D"/>
    <w:rsid w:val="00F63122"/>
    <w:rsid w:val="00F63873"/>
    <w:rsid w:val="00F6496C"/>
    <w:rsid w:val="00F65DDB"/>
    <w:rsid w:val="00F733E1"/>
    <w:rsid w:val="00F73BA5"/>
    <w:rsid w:val="00F748AC"/>
    <w:rsid w:val="00F75543"/>
    <w:rsid w:val="00F766DC"/>
    <w:rsid w:val="00F774EA"/>
    <w:rsid w:val="00F77876"/>
    <w:rsid w:val="00F80F25"/>
    <w:rsid w:val="00F81E02"/>
    <w:rsid w:val="00F83002"/>
    <w:rsid w:val="00F85D87"/>
    <w:rsid w:val="00F86483"/>
    <w:rsid w:val="00F864F1"/>
    <w:rsid w:val="00F87B30"/>
    <w:rsid w:val="00F911D2"/>
    <w:rsid w:val="00F91D5F"/>
    <w:rsid w:val="00FA0AF9"/>
    <w:rsid w:val="00FA0C89"/>
    <w:rsid w:val="00FA0E4F"/>
    <w:rsid w:val="00FA1376"/>
    <w:rsid w:val="00FA175F"/>
    <w:rsid w:val="00FA19E7"/>
    <w:rsid w:val="00FA2F15"/>
    <w:rsid w:val="00FA3675"/>
    <w:rsid w:val="00FA4896"/>
    <w:rsid w:val="00FA4DDA"/>
    <w:rsid w:val="00FA4FB6"/>
    <w:rsid w:val="00FA5A6B"/>
    <w:rsid w:val="00FA5B02"/>
    <w:rsid w:val="00FB2518"/>
    <w:rsid w:val="00FB2DEE"/>
    <w:rsid w:val="00FB3E5D"/>
    <w:rsid w:val="00FB430F"/>
    <w:rsid w:val="00FB64BB"/>
    <w:rsid w:val="00FB6A0C"/>
    <w:rsid w:val="00FB72C8"/>
    <w:rsid w:val="00FC0482"/>
    <w:rsid w:val="00FC052B"/>
    <w:rsid w:val="00FC06EA"/>
    <w:rsid w:val="00FC2D15"/>
    <w:rsid w:val="00FC3CA7"/>
    <w:rsid w:val="00FC4ACF"/>
    <w:rsid w:val="00FC528E"/>
    <w:rsid w:val="00FC667E"/>
    <w:rsid w:val="00FC75CD"/>
    <w:rsid w:val="00FD0AB9"/>
    <w:rsid w:val="00FD119D"/>
    <w:rsid w:val="00FD2A03"/>
    <w:rsid w:val="00FD33F0"/>
    <w:rsid w:val="00FD43AC"/>
    <w:rsid w:val="00FE02FA"/>
    <w:rsid w:val="00FE18EE"/>
    <w:rsid w:val="00FE281D"/>
    <w:rsid w:val="00FE38B1"/>
    <w:rsid w:val="00FE52F6"/>
    <w:rsid w:val="00FE6871"/>
    <w:rsid w:val="00FF1702"/>
    <w:rsid w:val="00FF1F89"/>
    <w:rsid w:val="00FF213B"/>
    <w:rsid w:val="00FF456B"/>
    <w:rsid w:val="00FF55A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65E50"/>
    <w:pPr>
      <w:spacing w:after="160" w:line="259" w:lineRule="auto"/>
    </w:pPr>
  </w:style>
  <w:style w:type="paragraph" w:styleId="Heading1">
    <w:name w:val="heading 1"/>
    <w:basedOn w:val="Normal"/>
    <w:next w:val="Normal"/>
    <w:link w:val="Heading1Char"/>
    <w:uiPriority w:val="99"/>
    <w:qFormat/>
    <w:rsid w:val="00166FF5"/>
    <w:pPr>
      <w:keepNext/>
      <w:keepLines/>
      <w:spacing w:before="480" w:after="0"/>
      <w:outlineLvl w:val="0"/>
    </w:pPr>
    <w:rPr>
      <w:rFonts w:hAnsi="Calibri"/>
      <w:b/>
      <w:bCs/>
      <w:sz w:val="20"/>
      <w:szCs w:val="28"/>
    </w:rPr>
  </w:style>
  <w:style w:type="paragraph" w:styleId="Heading2">
    <w:name w:val="heading 2"/>
    <w:basedOn w:val="Normal"/>
    <w:link w:val="Heading2Char"/>
    <w:uiPriority w:val="99"/>
    <w:qFormat/>
    <w:rsid w:val="00977EEC"/>
    <w:pPr>
      <w:spacing w:before="100" w:beforeAutospacing="1" w:after="100" w:afterAutospacing="1" w:line="240" w:lineRule="auto"/>
      <w:outlineLvl w:val="1"/>
    </w:pPr>
    <w:rPr>
      <w:rFonts w:hAnsi="Calibri" w:cs="Calibri"/>
      <w:b/>
      <w:bCs/>
      <w:sz w:val="24"/>
      <w:szCs w:val="24"/>
    </w:rPr>
  </w:style>
  <w:style w:type="paragraph" w:styleId="Heading3">
    <w:name w:val="heading 3"/>
    <w:basedOn w:val="Normal"/>
    <w:next w:val="Normal"/>
    <w:link w:val="Heading3Char"/>
    <w:uiPriority w:val="99"/>
    <w:qFormat/>
    <w:rsid w:val="00166FF5"/>
    <w:pPr>
      <w:keepNext/>
      <w:keepLines/>
      <w:spacing w:before="200" w:after="0"/>
      <w:outlineLvl w:val="2"/>
    </w:pPr>
    <w:rPr>
      <w:rFonts w:ascii="Calibri Light" w:hAnsi="Calibri Light"/>
      <w:b/>
      <w:bCs/>
      <w:color w:val="4472C4"/>
    </w:rPr>
  </w:style>
  <w:style w:type="paragraph" w:styleId="Heading4">
    <w:name w:val="heading 4"/>
    <w:basedOn w:val="Normal"/>
    <w:next w:val="Normal"/>
    <w:link w:val="Heading4Char"/>
    <w:uiPriority w:val="99"/>
    <w:qFormat/>
    <w:rsid w:val="00DE7DFE"/>
    <w:pPr>
      <w:keepNext/>
      <w:keepLines/>
      <w:spacing w:before="200" w:after="0"/>
      <w:outlineLvl w:val="3"/>
    </w:pPr>
    <w:rPr>
      <w:rFonts w:ascii="Calibri Light" w:hAnsi="Calibri Light"/>
      <w:b/>
      <w:bCs/>
      <w:i/>
      <w:iCs/>
      <w:color w:val="4472C4"/>
    </w:rPr>
  </w:style>
  <w:style w:type="paragraph" w:styleId="Heading5">
    <w:name w:val="heading 5"/>
    <w:basedOn w:val="Normal"/>
    <w:next w:val="Normal"/>
    <w:link w:val="Heading5Char"/>
    <w:uiPriority w:val="99"/>
    <w:qFormat/>
    <w:rsid w:val="00EF562D"/>
    <w:pPr>
      <w:keepNext/>
      <w:keepLines/>
      <w:spacing w:before="200" w:after="0"/>
      <w:outlineLvl w:val="4"/>
    </w:pPr>
    <w:rPr>
      <w:rFonts w:ascii="Calibri Light" w:hAnsi="Calibri Light"/>
      <w:color w:val="1F3763"/>
    </w:rPr>
  </w:style>
  <w:style w:type="paragraph" w:styleId="Heading6">
    <w:name w:val="heading 6"/>
    <w:basedOn w:val="Normal"/>
    <w:next w:val="Normal"/>
    <w:link w:val="Heading6Char"/>
    <w:uiPriority w:val="99"/>
    <w:qFormat/>
    <w:rsid w:val="00FA4896"/>
    <w:pPr>
      <w:keepNext/>
      <w:keepLines/>
      <w:spacing w:before="200" w:after="0"/>
      <w:outlineLvl w:val="5"/>
    </w:pPr>
    <w:rPr>
      <w:rFonts w:ascii="Calibri Light" w:hAnsi="Calibri Light"/>
      <w:i/>
      <w:iCs/>
      <w:color w:val="1F3763"/>
    </w:rPr>
  </w:style>
  <w:style w:type="paragraph" w:styleId="Heading7">
    <w:name w:val="heading 7"/>
    <w:basedOn w:val="Normal"/>
    <w:next w:val="Normal"/>
    <w:link w:val="Heading7Char"/>
    <w:uiPriority w:val="99"/>
    <w:qFormat/>
    <w:rsid w:val="00EF562D"/>
    <w:pPr>
      <w:keepNext/>
      <w:keepLines/>
      <w:spacing w:before="200" w:after="0"/>
      <w:outlineLvl w:val="6"/>
    </w:pPr>
    <w:rPr>
      <w:rFonts w:ascii="Calibri Light" w:hAnsi="Calibri Light"/>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66FF5"/>
    <w:rPr>
      <w:rFonts w:eastAsia="Times New Roman" w:hAnsi="Calibri" w:cs="Times New Roman"/>
      <w:b/>
      <w:bCs/>
      <w:sz w:val="28"/>
      <w:szCs w:val="28"/>
    </w:rPr>
  </w:style>
  <w:style w:type="character" w:customStyle="1" w:styleId="Heading2Char">
    <w:name w:val="Heading 2 Char"/>
    <w:basedOn w:val="DefaultParagraphFont"/>
    <w:link w:val="Heading2"/>
    <w:uiPriority w:val="99"/>
    <w:locked/>
    <w:rsid w:val="00977EEC"/>
    <w:rPr>
      <w:rFonts w:hAnsi="Calibri" w:cs="Calibri"/>
      <w:b/>
      <w:bCs/>
      <w:sz w:val="24"/>
      <w:szCs w:val="24"/>
    </w:rPr>
  </w:style>
  <w:style w:type="character" w:customStyle="1" w:styleId="Heading3Char">
    <w:name w:val="Heading 3 Char"/>
    <w:basedOn w:val="DefaultParagraphFont"/>
    <w:link w:val="Heading3"/>
    <w:uiPriority w:val="99"/>
    <w:locked/>
    <w:rsid w:val="00166FF5"/>
    <w:rPr>
      <w:rFonts w:ascii="Calibri Light" w:hAnsi="Calibri Light" w:cs="Times New Roman"/>
      <w:b/>
      <w:bCs/>
      <w:color w:val="4472C4"/>
    </w:rPr>
  </w:style>
  <w:style w:type="character" w:customStyle="1" w:styleId="Heading4Char">
    <w:name w:val="Heading 4 Char"/>
    <w:basedOn w:val="DefaultParagraphFont"/>
    <w:link w:val="Heading4"/>
    <w:uiPriority w:val="99"/>
    <w:semiHidden/>
    <w:locked/>
    <w:rsid w:val="00DE7DFE"/>
    <w:rPr>
      <w:rFonts w:ascii="Calibri Light" w:hAnsi="Calibri Light" w:cs="Times New Roman"/>
      <w:b/>
      <w:bCs/>
      <w:i/>
      <w:iCs/>
      <w:color w:val="4472C4"/>
    </w:rPr>
  </w:style>
  <w:style w:type="character" w:customStyle="1" w:styleId="Heading5Char">
    <w:name w:val="Heading 5 Char"/>
    <w:basedOn w:val="DefaultParagraphFont"/>
    <w:link w:val="Heading5"/>
    <w:uiPriority w:val="99"/>
    <w:locked/>
    <w:rsid w:val="00EF562D"/>
    <w:rPr>
      <w:rFonts w:ascii="Calibri Light" w:hAnsi="Calibri Light" w:cs="Times New Roman"/>
      <w:color w:val="1F3763"/>
    </w:rPr>
  </w:style>
  <w:style w:type="character" w:customStyle="1" w:styleId="Heading6Char">
    <w:name w:val="Heading 6 Char"/>
    <w:basedOn w:val="DefaultParagraphFont"/>
    <w:link w:val="Heading6"/>
    <w:uiPriority w:val="99"/>
    <w:semiHidden/>
    <w:locked/>
    <w:rsid w:val="00FA4896"/>
    <w:rPr>
      <w:rFonts w:ascii="Calibri Light" w:hAnsi="Calibri Light" w:cs="Times New Roman"/>
      <w:i/>
      <w:iCs/>
      <w:color w:val="1F3763"/>
    </w:rPr>
  </w:style>
  <w:style w:type="character" w:customStyle="1" w:styleId="Heading7Char">
    <w:name w:val="Heading 7 Char"/>
    <w:basedOn w:val="DefaultParagraphFont"/>
    <w:link w:val="Heading7"/>
    <w:uiPriority w:val="99"/>
    <w:semiHidden/>
    <w:locked/>
    <w:rsid w:val="00EF562D"/>
    <w:rPr>
      <w:rFonts w:ascii="Calibri Light" w:hAnsi="Calibri Light" w:cs="Times New Roman"/>
      <w:i/>
      <w:iCs/>
      <w:color w:val="404040"/>
    </w:rPr>
  </w:style>
  <w:style w:type="paragraph" w:styleId="Header">
    <w:name w:val="header"/>
    <w:basedOn w:val="Normal"/>
    <w:link w:val="HeaderChar"/>
    <w:uiPriority w:val="99"/>
    <w:rsid w:val="0068007C"/>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68007C"/>
    <w:rPr>
      <w:rFonts w:cs="Times New Roman"/>
    </w:rPr>
  </w:style>
  <w:style w:type="paragraph" w:styleId="Footer">
    <w:name w:val="footer"/>
    <w:basedOn w:val="Normal"/>
    <w:link w:val="FooterChar"/>
    <w:uiPriority w:val="99"/>
    <w:rsid w:val="0068007C"/>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68007C"/>
    <w:rPr>
      <w:rFonts w:cs="Times New Roman"/>
    </w:rPr>
  </w:style>
  <w:style w:type="paragraph" w:styleId="FootnoteText">
    <w:name w:val="footnote text"/>
    <w:basedOn w:val="Normal"/>
    <w:link w:val="FootnoteTextChar"/>
    <w:uiPriority w:val="99"/>
    <w:rsid w:val="00250D17"/>
    <w:pPr>
      <w:spacing w:after="0" w:line="240" w:lineRule="auto"/>
    </w:pPr>
    <w:rPr>
      <w:sz w:val="20"/>
      <w:szCs w:val="20"/>
    </w:rPr>
  </w:style>
  <w:style w:type="character" w:customStyle="1" w:styleId="FootnoteTextChar">
    <w:name w:val="Footnote Text Char"/>
    <w:basedOn w:val="DefaultParagraphFont"/>
    <w:link w:val="FootnoteText"/>
    <w:uiPriority w:val="99"/>
    <w:locked/>
    <w:rsid w:val="00250D17"/>
    <w:rPr>
      <w:rFonts w:cs="Times New Roman"/>
      <w:sz w:val="20"/>
      <w:szCs w:val="20"/>
    </w:rPr>
  </w:style>
  <w:style w:type="character" w:styleId="FootnoteReference">
    <w:name w:val="footnote reference"/>
    <w:basedOn w:val="DefaultParagraphFont"/>
    <w:uiPriority w:val="99"/>
    <w:semiHidden/>
    <w:rsid w:val="00250D17"/>
    <w:rPr>
      <w:rFonts w:cs="Times New Roman"/>
      <w:vertAlign w:val="superscript"/>
    </w:rPr>
  </w:style>
  <w:style w:type="table" w:styleId="TableGrid">
    <w:name w:val="Table Grid"/>
    <w:basedOn w:val="TableNormal"/>
    <w:uiPriority w:val="99"/>
    <w:rsid w:val="005240F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93951"/>
    <w:rPr>
      <w:rFonts w:cs="Times New Roman"/>
      <w:color w:val="0563C1"/>
      <w:u w:val="single"/>
    </w:rPr>
  </w:style>
  <w:style w:type="character" w:customStyle="1" w:styleId="apple-converted-space">
    <w:name w:val="apple-converted-space"/>
    <w:basedOn w:val="DefaultParagraphFont"/>
    <w:uiPriority w:val="99"/>
    <w:rsid w:val="00293951"/>
    <w:rPr>
      <w:rFonts w:cs="Times New Roman"/>
    </w:rPr>
  </w:style>
  <w:style w:type="character" w:styleId="FollowedHyperlink">
    <w:name w:val="FollowedHyperlink"/>
    <w:basedOn w:val="DefaultParagraphFont"/>
    <w:uiPriority w:val="99"/>
    <w:semiHidden/>
    <w:rsid w:val="00263407"/>
    <w:rPr>
      <w:rFonts w:cs="Times New Roman"/>
      <w:color w:val="954F72"/>
      <w:u w:val="single"/>
    </w:rPr>
  </w:style>
  <w:style w:type="paragraph" w:styleId="NormalWeb">
    <w:name w:val="Normal (Web)"/>
    <w:basedOn w:val="Normal"/>
    <w:uiPriority w:val="99"/>
    <w:rsid w:val="00DA1377"/>
    <w:pPr>
      <w:spacing w:before="100" w:beforeAutospacing="1" w:after="100" w:afterAutospacing="1" w:line="240" w:lineRule="auto"/>
    </w:pPr>
    <w:rPr>
      <w:rFonts w:ascii="Times New Roman"/>
      <w:sz w:val="24"/>
      <w:szCs w:val="24"/>
    </w:rPr>
  </w:style>
  <w:style w:type="paragraph" w:customStyle="1" w:styleId="estadonorma">
    <w:name w:val="estado_norma"/>
    <w:basedOn w:val="Normal"/>
    <w:uiPriority w:val="99"/>
    <w:rsid w:val="00DA1377"/>
    <w:pPr>
      <w:spacing w:before="100" w:beforeAutospacing="1" w:after="100" w:afterAutospacing="1" w:line="240" w:lineRule="auto"/>
    </w:pPr>
    <w:rPr>
      <w:rFonts w:ascii="Times New Roman"/>
      <w:sz w:val="24"/>
      <w:szCs w:val="24"/>
    </w:rPr>
  </w:style>
  <w:style w:type="paragraph" w:customStyle="1" w:styleId="tituloseccion">
    <w:name w:val="titulo_seccion"/>
    <w:basedOn w:val="Normal"/>
    <w:uiPriority w:val="99"/>
    <w:rsid w:val="00DA1377"/>
    <w:pPr>
      <w:spacing w:before="100" w:beforeAutospacing="1" w:after="100" w:afterAutospacing="1" w:line="240" w:lineRule="auto"/>
    </w:pPr>
    <w:rPr>
      <w:rFonts w:ascii="Times New Roman"/>
      <w:sz w:val="24"/>
      <w:szCs w:val="24"/>
    </w:rPr>
  </w:style>
  <w:style w:type="paragraph" w:styleId="BalloonText">
    <w:name w:val="Balloon Text"/>
    <w:basedOn w:val="Normal"/>
    <w:link w:val="BalloonTextChar"/>
    <w:uiPriority w:val="99"/>
    <w:semiHidden/>
    <w:rsid w:val="003C5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53BD"/>
    <w:rPr>
      <w:rFonts w:ascii="Tahoma" w:hAnsi="Tahoma" w:cs="Tahoma"/>
      <w:sz w:val="16"/>
      <w:szCs w:val="16"/>
    </w:rPr>
  </w:style>
  <w:style w:type="paragraph" w:styleId="ListParagraph">
    <w:name w:val="List Paragraph"/>
    <w:basedOn w:val="Normal"/>
    <w:uiPriority w:val="99"/>
    <w:qFormat/>
    <w:rsid w:val="00AD3226"/>
    <w:pPr>
      <w:ind w:left="720"/>
      <w:contextualSpacing/>
    </w:pPr>
  </w:style>
  <w:style w:type="paragraph" w:styleId="HTMLPreformatted">
    <w:name w:val="HTML Preformatted"/>
    <w:basedOn w:val="Normal"/>
    <w:link w:val="HTMLPreformattedChar"/>
    <w:uiPriority w:val="99"/>
    <w:rsid w:val="00590C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590C74"/>
    <w:rPr>
      <w:rFonts w:ascii="Courier New" w:hAnsi="Courier New" w:cs="Courier New"/>
      <w:sz w:val="20"/>
      <w:szCs w:val="20"/>
    </w:rPr>
  </w:style>
  <w:style w:type="character" w:styleId="Strong">
    <w:name w:val="Strong"/>
    <w:basedOn w:val="DefaultParagraphFont"/>
    <w:uiPriority w:val="99"/>
    <w:qFormat/>
    <w:rsid w:val="009756B6"/>
    <w:rPr>
      <w:rFonts w:cs="Times New Roman"/>
      <w:b/>
      <w:bCs/>
    </w:rPr>
  </w:style>
  <w:style w:type="character" w:customStyle="1" w:styleId="Mencinsinresolver1">
    <w:name w:val="Mención sin resolver1"/>
    <w:basedOn w:val="DefaultParagraphFont"/>
    <w:uiPriority w:val="99"/>
    <w:semiHidden/>
    <w:rsid w:val="000D61AA"/>
    <w:rPr>
      <w:rFonts w:cs="Times New Roman"/>
      <w:color w:val="808080"/>
      <w:shd w:val="clear" w:color="auto" w:fill="E6E6E6"/>
    </w:rPr>
  </w:style>
  <w:style w:type="character" w:customStyle="1" w:styleId="Mencinsinresolver2">
    <w:name w:val="Mención sin resolver2"/>
    <w:basedOn w:val="DefaultParagraphFont"/>
    <w:uiPriority w:val="99"/>
    <w:semiHidden/>
    <w:rsid w:val="00E9673B"/>
    <w:rPr>
      <w:rFonts w:cs="Times New Roman"/>
      <w:color w:val="808080"/>
      <w:shd w:val="clear" w:color="auto" w:fill="E6E6E6"/>
    </w:rPr>
  </w:style>
  <w:style w:type="table" w:customStyle="1" w:styleId="Tablaconcuadrcula1">
    <w:name w:val="Tabla con cuadrícula1"/>
    <w:uiPriority w:val="99"/>
    <w:rsid w:val="009614CD"/>
    <w:rPr>
      <w:rFonts w:hAnsi="Calibri"/>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99"/>
    <w:rsid w:val="0034160E"/>
    <w:pPr>
      <w:spacing w:before="120" w:after="120"/>
    </w:pPr>
    <w:rPr>
      <w:rFonts w:hAnsi="Calibri" w:cs="Calibri"/>
      <w:bCs/>
      <w:i/>
      <w:sz w:val="24"/>
      <w:szCs w:val="20"/>
    </w:rPr>
  </w:style>
  <w:style w:type="paragraph" w:styleId="TOC2">
    <w:name w:val="toc 2"/>
    <w:basedOn w:val="Normal"/>
    <w:next w:val="Normal"/>
    <w:autoRedefine/>
    <w:uiPriority w:val="99"/>
    <w:rsid w:val="0034160E"/>
    <w:pPr>
      <w:spacing w:after="0"/>
      <w:ind w:left="220"/>
    </w:pPr>
    <w:rPr>
      <w:rFonts w:hAnsi="Calibri" w:cs="Calibri"/>
      <w:i/>
      <w:sz w:val="24"/>
      <w:szCs w:val="20"/>
    </w:rPr>
  </w:style>
  <w:style w:type="paragraph" w:styleId="TOC3">
    <w:name w:val="toc 3"/>
    <w:basedOn w:val="Normal"/>
    <w:next w:val="Normal"/>
    <w:autoRedefine/>
    <w:uiPriority w:val="99"/>
    <w:rsid w:val="001C1C29"/>
    <w:pPr>
      <w:tabs>
        <w:tab w:val="right" w:leader="dot" w:pos="8778"/>
      </w:tabs>
      <w:spacing w:after="0" w:line="240" w:lineRule="auto"/>
      <w:ind w:left="442"/>
    </w:pPr>
    <w:rPr>
      <w:rFonts w:hAnsi="Calibri" w:cs="Calibri"/>
      <w:i/>
      <w:iCs/>
      <w:sz w:val="24"/>
      <w:szCs w:val="20"/>
    </w:rPr>
  </w:style>
  <w:style w:type="paragraph" w:styleId="TOC4">
    <w:name w:val="toc 4"/>
    <w:basedOn w:val="Normal"/>
    <w:next w:val="Normal"/>
    <w:autoRedefine/>
    <w:uiPriority w:val="99"/>
    <w:rsid w:val="00861BE5"/>
    <w:pPr>
      <w:tabs>
        <w:tab w:val="right" w:leader="dot" w:pos="8778"/>
      </w:tabs>
      <w:spacing w:after="0"/>
      <w:ind w:left="660"/>
    </w:pPr>
    <w:rPr>
      <w:rFonts w:hAnsi="Calibri" w:cs="Calibri"/>
      <w:i/>
      <w:noProof/>
      <w:sz w:val="24"/>
      <w:szCs w:val="18"/>
    </w:rPr>
  </w:style>
  <w:style w:type="paragraph" w:styleId="TOC5">
    <w:name w:val="toc 5"/>
    <w:basedOn w:val="Normal"/>
    <w:next w:val="Normal"/>
    <w:autoRedefine/>
    <w:uiPriority w:val="99"/>
    <w:rsid w:val="0061532E"/>
    <w:pPr>
      <w:tabs>
        <w:tab w:val="right" w:leader="dot" w:pos="8778"/>
      </w:tabs>
      <w:spacing w:after="0" w:line="240" w:lineRule="auto"/>
      <w:ind w:left="879"/>
    </w:pPr>
    <w:rPr>
      <w:rFonts w:hAnsi="Calibri" w:cs="Calibri"/>
      <w:i/>
      <w:sz w:val="24"/>
      <w:szCs w:val="18"/>
    </w:rPr>
  </w:style>
  <w:style w:type="paragraph" w:styleId="TOC6">
    <w:name w:val="toc 6"/>
    <w:basedOn w:val="Normal"/>
    <w:next w:val="Normal"/>
    <w:autoRedefine/>
    <w:uiPriority w:val="99"/>
    <w:rsid w:val="0061532E"/>
    <w:pPr>
      <w:spacing w:after="0"/>
      <w:ind w:left="1100"/>
    </w:pPr>
    <w:rPr>
      <w:rFonts w:hAnsi="Calibri" w:cs="Calibri"/>
      <w:i/>
      <w:sz w:val="24"/>
      <w:szCs w:val="18"/>
    </w:rPr>
  </w:style>
  <w:style w:type="paragraph" w:styleId="TOC7">
    <w:name w:val="toc 7"/>
    <w:basedOn w:val="Normal"/>
    <w:next w:val="Normal"/>
    <w:autoRedefine/>
    <w:uiPriority w:val="99"/>
    <w:rsid w:val="006C2810"/>
    <w:pPr>
      <w:spacing w:after="0"/>
      <w:ind w:left="1320"/>
    </w:pPr>
    <w:rPr>
      <w:rFonts w:hAnsi="Calibri" w:cs="Calibri"/>
      <w:sz w:val="18"/>
      <w:szCs w:val="18"/>
    </w:rPr>
  </w:style>
  <w:style w:type="paragraph" w:styleId="TOC8">
    <w:name w:val="toc 8"/>
    <w:basedOn w:val="Normal"/>
    <w:next w:val="Normal"/>
    <w:autoRedefine/>
    <w:uiPriority w:val="99"/>
    <w:rsid w:val="006C2810"/>
    <w:pPr>
      <w:spacing w:after="0"/>
      <w:ind w:left="1540"/>
    </w:pPr>
    <w:rPr>
      <w:rFonts w:hAnsi="Calibri" w:cs="Calibri"/>
      <w:sz w:val="18"/>
      <w:szCs w:val="18"/>
    </w:rPr>
  </w:style>
  <w:style w:type="paragraph" w:styleId="TOC9">
    <w:name w:val="toc 9"/>
    <w:basedOn w:val="Normal"/>
    <w:next w:val="Normal"/>
    <w:autoRedefine/>
    <w:uiPriority w:val="99"/>
    <w:rsid w:val="006C2810"/>
    <w:pPr>
      <w:spacing w:after="0"/>
      <w:ind w:left="1760"/>
    </w:pPr>
    <w:rPr>
      <w:rFonts w:hAnsi="Calibri" w:cs="Calibri"/>
      <w:sz w:val="18"/>
      <w:szCs w:val="18"/>
    </w:rPr>
  </w:style>
  <w:style w:type="character" w:styleId="Emphasis">
    <w:name w:val="Emphasis"/>
    <w:basedOn w:val="DefaultParagraphFont"/>
    <w:uiPriority w:val="99"/>
    <w:qFormat/>
    <w:rsid w:val="00DE7DFE"/>
    <w:rPr>
      <w:rFonts w:cs="Times New Roman"/>
      <w:i/>
      <w:iCs/>
    </w:rPr>
  </w:style>
  <w:style w:type="character" w:customStyle="1" w:styleId="fn">
    <w:name w:val="fn"/>
    <w:basedOn w:val="DefaultParagraphFont"/>
    <w:uiPriority w:val="99"/>
    <w:rsid w:val="00DE7DFE"/>
    <w:rPr>
      <w:rFonts w:cs="Times New Roman"/>
    </w:rPr>
  </w:style>
  <w:style w:type="character" w:customStyle="1" w:styleId="categoriessc">
    <w:name w:val="categories sc"/>
    <w:basedOn w:val="DefaultParagraphFont"/>
    <w:uiPriority w:val="99"/>
    <w:rsid w:val="00DE7DFE"/>
    <w:rPr>
      <w:rFonts w:cs="Times New Roman"/>
    </w:rPr>
  </w:style>
  <w:style w:type="character" w:customStyle="1" w:styleId="post-commentssc">
    <w:name w:val="post-comments sc"/>
    <w:basedOn w:val="DefaultParagraphFont"/>
    <w:uiPriority w:val="99"/>
    <w:rsid w:val="00DE7DFE"/>
    <w:rPr>
      <w:rFonts w:cs="Times New Roman"/>
    </w:rPr>
  </w:style>
  <w:style w:type="character" w:customStyle="1" w:styleId="num">
    <w:name w:val="num"/>
    <w:basedOn w:val="DefaultParagraphFont"/>
    <w:uiPriority w:val="99"/>
    <w:rsid w:val="00DE7DFE"/>
    <w:rPr>
      <w:rFonts w:cs="Times New Roman"/>
    </w:rPr>
  </w:style>
  <w:style w:type="character" w:customStyle="1" w:styleId="in-widget">
    <w:name w:val="in-widget"/>
    <w:basedOn w:val="DefaultParagraphFont"/>
    <w:uiPriority w:val="99"/>
    <w:rsid w:val="00DE7DFE"/>
    <w:rPr>
      <w:rFonts w:cs="Times New Roman"/>
    </w:rPr>
  </w:style>
  <w:style w:type="character" w:customStyle="1" w:styleId="in-right">
    <w:name w:val="in-right"/>
    <w:basedOn w:val="DefaultParagraphFont"/>
    <w:uiPriority w:val="99"/>
    <w:rsid w:val="00DE7DFE"/>
    <w:rPr>
      <w:rFonts w:cs="Times New Roman"/>
    </w:rPr>
  </w:style>
  <w:style w:type="character" w:customStyle="1" w:styleId="estadonormaderogada">
    <w:name w:val="estado_norma_derogada"/>
    <w:basedOn w:val="DefaultParagraphFont"/>
    <w:uiPriority w:val="99"/>
    <w:rsid w:val="002A46AD"/>
    <w:rPr>
      <w:rFonts w:cs="Times New Roman"/>
    </w:rPr>
  </w:style>
  <w:style w:type="character" w:customStyle="1" w:styleId="Mencinsinresolver3">
    <w:name w:val="Mención sin resolver3"/>
    <w:basedOn w:val="DefaultParagraphFont"/>
    <w:uiPriority w:val="99"/>
    <w:semiHidden/>
    <w:rsid w:val="00AA0BBD"/>
    <w:rPr>
      <w:rFonts w:cs="Times New Roman"/>
      <w:color w:val="808080"/>
      <w:shd w:val="clear" w:color="auto" w:fill="E6E6E6"/>
    </w:rPr>
  </w:style>
  <w:style w:type="character" w:customStyle="1" w:styleId="Mencinsinresolver4">
    <w:name w:val="Mención sin resolver4"/>
    <w:basedOn w:val="DefaultParagraphFont"/>
    <w:uiPriority w:val="99"/>
    <w:semiHidden/>
    <w:rsid w:val="00E97092"/>
    <w:rPr>
      <w:rFonts w:cs="Times New Roman"/>
      <w:color w:val="808080"/>
      <w:shd w:val="clear" w:color="auto" w:fill="E6E6E6"/>
    </w:rPr>
  </w:style>
  <w:style w:type="character" w:customStyle="1" w:styleId="highlight">
    <w:name w:val="highlight"/>
    <w:basedOn w:val="DefaultParagraphFont"/>
    <w:uiPriority w:val="99"/>
    <w:rsid w:val="00C1002C"/>
    <w:rPr>
      <w:rFonts w:cs="Times New Roman"/>
    </w:rPr>
  </w:style>
  <w:style w:type="paragraph" w:styleId="BodyTextIndent2">
    <w:name w:val="Body Text Indent 2"/>
    <w:basedOn w:val="Normal"/>
    <w:link w:val="BodyTextIndent2Char"/>
    <w:uiPriority w:val="99"/>
    <w:rsid w:val="00312562"/>
    <w:pPr>
      <w:spacing w:after="0" w:line="240" w:lineRule="auto"/>
      <w:ind w:firstLine="567"/>
      <w:jc w:val="both"/>
    </w:pPr>
    <w:rPr>
      <w:rFonts w:ascii="Verdana" w:hAnsi="Verdana"/>
      <w:sz w:val="20"/>
      <w:szCs w:val="20"/>
      <w:lang w:val="es-ES" w:eastAsia="es-ES"/>
    </w:rPr>
  </w:style>
  <w:style w:type="character" w:customStyle="1" w:styleId="BodyTextIndent2Char">
    <w:name w:val="Body Text Indent 2 Char"/>
    <w:basedOn w:val="DefaultParagraphFont"/>
    <w:link w:val="BodyTextIndent2"/>
    <w:uiPriority w:val="99"/>
    <w:locked/>
    <w:rsid w:val="00312562"/>
    <w:rPr>
      <w:rFonts w:ascii="Verdana" w:hAnsi="Verdana" w:cs="Times New Roman"/>
      <w:sz w:val="20"/>
      <w:szCs w:val="20"/>
      <w:lang w:val="es-ES" w:eastAsia="es-ES"/>
    </w:rPr>
  </w:style>
  <w:style w:type="paragraph" w:styleId="BodyText">
    <w:name w:val="Body Text"/>
    <w:basedOn w:val="Normal"/>
    <w:link w:val="BodyTextChar"/>
    <w:uiPriority w:val="99"/>
    <w:semiHidden/>
    <w:rsid w:val="007F4F93"/>
    <w:pPr>
      <w:spacing w:after="120"/>
    </w:pPr>
  </w:style>
  <w:style w:type="character" w:customStyle="1" w:styleId="BodyTextChar">
    <w:name w:val="Body Text Char"/>
    <w:basedOn w:val="DefaultParagraphFont"/>
    <w:link w:val="BodyText"/>
    <w:uiPriority w:val="99"/>
    <w:semiHidden/>
    <w:locked/>
    <w:rsid w:val="007F4F93"/>
    <w:rPr>
      <w:rFonts w:cs="Times New Roman"/>
    </w:rPr>
  </w:style>
  <w:style w:type="paragraph" w:styleId="BodyText2">
    <w:name w:val="Body Text 2"/>
    <w:basedOn w:val="Normal"/>
    <w:link w:val="BodyText2Char"/>
    <w:uiPriority w:val="99"/>
    <w:semiHidden/>
    <w:rsid w:val="007F4F93"/>
    <w:pPr>
      <w:spacing w:after="120" w:line="480" w:lineRule="auto"/>
    </w:pPr>
  </w:style>
  <w:style w:type="character" w:customStyle="1" w:styleId="BodyText2Char">
    <w:name w:val="Body Text 2 Char"/>
    <w:basedOn w:val="DefaultParagraphFont"/>
    <w:link w:val="BodyText2"/>
    <w:uiPriority w:val="99"/>
    <w:semiHidden/>
    <w:locked/>
    <w:rsid w:val="007F4F93"/>
    <w:rPr>
      <w:rFonts w:cs="Times New Roman"/>
    </w:rPr>
  </w:style>
  <w:style w:type="character" w:customStyle="1" w:styleId="Mencinsinresolver5">
    <w:name w:val="Mención sin resolver5"/>
    <w:basedOn w:val="DefaultParagraphFont"/>
    <w:uiPriority w:val="99"/>
    <w:semiHidden/>
    <w:rsid w:val="00AC7A3E"/>
    <w:rPr>
      <w:rFonts w:cs="Times New Roman"/>
      <w:color w:val="808080"/>
      <w:shd w:val="clear" w:color="auto" w:fill="E6E6E6"/>
    </w:rPr>
  </w:style>
  <w:style w:type="paragraph" w:customStyle="1" w:styleId="content">
    <w:name w:val="content"/>
    <w:basedOn w:val="Normal"/>
    <w:uiPriority w:val="99"/>
    <w:rsid w:val="00B41564"/>
    <w:pPr>
      <w:spacing w:before="100" w:beforeAutospacing="1" w:after="100" w:afterAutospacing="1" w:line="240" w:lineRule="auto"/>
    </w:pPr>
    <w:rPr>
      <w:rFonts w:ascii="Times New Roman"/>
      <w:sz w:val="24"/>
      <w:szCs w:val="24"/>
    </w:rPr>
  </w:style>
  <w:style w:type="paragraph" w:styleId="TOCHeading">
    <w:name w:val="TOC Heading"/>
    <w:basedOn w:val="Heading1"/>
    <w:next w:val="Normal"/>
    <w:uiPriority w:val="99"/>
    <w:qFormat/>
    <w:rsid w:val="00166FF5"/>
    <w:pPr>
      <w:spacing w:line="276" w:lineRule="auto"/>
      <w:outlineLvl w:val="9"/>
    </w:pPr>
    <w:rPr>
      <w:rFonts w:ascii="Calibri Light" w:hAnsi="Calibri Light"/>
      <w:color w:val="2F5496"/>
      <w:sz w:val="28"/>
      <w:lang w:val="es-ES" w:eastAsia="en-US"/>
    </w:rPr>
  </w:style>
  <w:style w:type="character" w:customStyle="1" w:styleId="UnresolvedMention">
    <w:name w:val="Unresolved Mention"/>
    <w:basedOn w:val="DefaultParagraphFont"/>
    <w:uiPriority w:val="99"/>
    <w:semiHidden/>
    <w:rsid w:val="000A4549"/>
    <w:rPr>
      <w:rFonts w:cs="Times New Roman"/>
      <w:color w:val="808080"/>
      <w:shd w:val="clear" w:color="auto" w:fill="E6E6E6"/>
    </w:rPr>
  </w:style>
  <w:style w:type="paragraph" w:styleId="Title">
    <w:name w:val="Title"/>
    <w:basedOn w:val="Normal"/>
    <w:link w:val="TitleChar"/>
    <w:uiPriority w:val="99"/>
    <w:qFormat/>
    <w:rsid w:val="00A07166"/>
    <w:pPr>
      <w:spacing w:before="100" w:beforeAutospacing="1" w:after="100" w:afterAutospacing="1" w:line="240" w:lineRule="auto"/>
    </w:pPr>
    <w:rPr>
      <w:rFonts w:ascii="Times New Roman"/>
      <w:sz w:val="24"/>
      <w:szCs w:val="24"/>
    </w:rPr>
  </w:style>
  <w:style w:type="character" w:customStyle="1" w:styleId="TitleChar">
    <w:name w:val="Title Char"/>
    <w:basedOn w:val="DefaultParagraphFont"/>
    <w:link w:val="Title"/>
    <w:uiPriority w:val="99"/>
    <w:locked/>
    <w:rsid w:val="00A07166"/>
    <w:rPr>
      <w:rFonts w:asci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01360615">
      <w:marLeft w:val="0"/>
      <w:marRight w:val="0"/>
      <w:marTop w:val="0"/>
      <w:marBottom w:val="0"/>
      <w:divBdr>
        <w:top w:val="none" w:sz="0" w:space="0" w:color="auto"/>
        <w:left w:val="none" w:sz="0" w:space="0" w:color="auto"/>
        <w:bottom w:val="none" w:sz="0" w:space="0" w:color="auto"/>
        <w:right w:val="none" w:sz="0" w:space="0" w:color="auto"/>
      </w:divBdr>
    </w:div>
    <w:div w:id="501360617">
      <w:marLeft w:val="0"/>
      <w:marRight w:val="0"/>
      <w:marTop w:val="0"/>
      <w:marBottom w:val="0"/>
      <w:divBdr>
        <w:top w:val="none" w:sz="0" w:space="0" w:color="auto"/>
        <w:left w:val="none" w:sz="0" w:space="0" w:color="auto"/>
        <w:bottom w:val="none" w:sz="0" w:space="0" w:color="auto"/>
        <w:right w:val="none" w:sz="0" w:space="0" w:color="auto"/>
      </w:divBdr>
    </w:div>
    <w:div w:id="501360624">
      <w:marLeft w:val="0"/>
      <w:marRight w:val="0"/>
      <w:marTop w:val="0"/>
      <w:marBottom w:val="0"/>
      <w:divBdr>
        <w:top w:val="none" w:sz="0" w:space="0" w:color="auto"/>
        <w:left w:val="none" w:sz="0" w:space="0" w:color="auto"/>
        <w:bottom w:val="none" w:sz="0" w:space="0" w:color="auto"/>
        <w:right w:val="none" w:sz="0" w:space="0" w:color="auto"/>
      </w:divBdr>
    </w:div>
    <w:div w:id="501360635">
      <w:marLeft w:val="0"/>
      <w:marRight w:val="0"/>
      <w:marTop w:val="0"/>
      <w:marBottom w:val="0"/>
      <w:divBdr>
        <w:top w:val="none" w:sz="0" w:space="0" w:color="auto"/>
        <w:left w:val="none" w:sz="0" w:space="0" w:color="auto"/>
        <w:bottom w:val="none" w:sz="0" w:space="0" w:color="auto"/>
        <w:right w:val="none" w:sz="0" w:space="0" w:color="auto"/>
      </w:divBdr>
    </w:div>
    <w:div w:id="501360636">
      <w:marLeft w:val="0"/>
      <w:marRight w:val="0"/>
      <w:marTop w:val="0"/>
      <w:marBottom w:val="0"/>
      <w:divBdr>
        <w:top w:val="none" w:sz="0" w:space="0" w:color="auto"/>
        <w:left w:val="none" w:sz="0" w:space="0" w:color="auto"/>
        <w:bottom w:val="none" w:sz="0" w:space="0" w:color="auto"/>
        <w:right w:val="none" w:sz="0" w:space="0" w:color="auto"/>
      </w:divBdr>
      <w:divsChild>
        <w:div w:id="501360672">
          <w:marLeft w:val="1757"/>
          <w:marRight w:val="0"/>
          <w:marTop w:val="106"/>
          <w:marBottom w:val="0"/>
          <w:divBdr>
            <w:top w:val="none" w:sz="0" w:space="0" w:color="auto"/>
            <w:left w:val="none" w:sz="0" w:space="0" w:color="auto"/>
            <w:bottom w:val="none" w:sz="0" w:space="0" w:color="auto"/>
            <w:right w:val="none" w:sz="0" w:space="0" w:color="auto"/>
          </w:divBdr>
        </w:div>
        <w:div w:id="501360686">
          <w:marLeft w:val="0"/>
          <w:marRight w:val="0"/>
          <w:marTop w:val="115"/>
          <w:marBottom w:val="0"/>
          <w:divBdr>
            <w:top w:val="none" w:sz="0" w:space="0" w:color="auto"/>
            <w:left w:val="none" w:sz="0" w:space="0" w:color="auto"/>
            <w:bottom w:val="none" w:sz="0" w:space="0" w:color="auto"/>
            <w:right w:val="none" w:sz="0" w:space="0" w:color="auto"/>
          </w:divBdr>
        </w:div>
        <w:div w:id="501360782">
          <w:marLeft w:val="1757"/>
          <w:marRight w:val="0"/>
          <w:marTop w:val="106"/>
          <w:marBottom w:val="0"/>
          <w:divBdr>
            <w:top w:val="none" w:sz="0" w:space="0" w:color="auto"/>
            <w:left w:val="none" w:sz="0" w:space="0" w:color="auto"/>
            <w:bottom w:val="none" w:sz="0" w:space="0" w:color="auto"/>
            <w:right w:val="none" w:sz="0" w:space="0" w:color="auto"/>
          </w:divBdr>
        </w:div>
      </w:divsChild>
    </w:div>
    <w:div w:id="501360638">
      <w:marLeft w:val="0"/>
      <w:marRight w:val="0"/>
      <w:marTop w:val="0"/>
      <w:marBottom w:val="0"/>
      <w:divBdr>
        <w:top w:val="none" w:sz="0" w:space="0" w:color="auto"/>
        <w:left w:val="none" w:sz="0" w:space="0" w:color="auto"/>
        <w:bottom w:val="none" w:sz="0" w:space="0" w:color="auto"/>
        <w:right w:val="none" w:sz="0" w:space="0" w:color="auto"/>
      </w:divBdr>
      <w:divsChild>
        <w:div w:id="501360621">
          <w:marLeft w:val="835"/>
          <w:marRight w:val="0"/>
          <w:marTop w:val="96"/>
          <w:marBottom w:val="0"/>
          <w:divBdr>
            <w:top w:val="none" w:sz="0" w:space="0" w:color="auto"/>
            <w:left w:val="none" w:sz="0" w:space="0" w:color="auto"/>
            <w:bottom w:val="none" w:sz="0" w:space="0" w:color="auto"/>
            <w:right w:val="none" w:sz="0" w:space="0" w:color="auto"/>
          </w:divBdr>
        </w:div>
        <w:div w:id="501360742">
          <w:marLeft w:val="1498"/>
          <w:marRight w:val="0"/>
          <w:marTop w:val="96"/>
          <w:marBottom w:val="0"/>
          <w:divBdr>
            <w:top w:val="none" w:sz="0" w:space="0" w:color="auto"/>
            <w:left w:val="none" w:sz="0" w:space="0" w:color="auto"/>
            <w:bottom w:val="none" w:sz="0" w:space="0" w:color="auto"/>
            <w:right w:val="none" w:sz="0" w:space="0" w:color="auto"/>
          </w:divBdr>
        </w:div>
        <w:div w:id="501360750">
          <w:marLeft w:val="835"/>
          <w:marRight w:val="0"/>
          <w:marTop w:val="96"/>
          <w:marBottom w:val="0"/>
          <w:divBdr>
            <w:top w:val="none" w:sz="0" w:space="0" w:color="auto"/>
            <w:left w:val="none" w:sz="0" w:space="0" w:color="auto"/>
            <w:bottom w:val="none" w:sz="0" w:space="0" w:color="auto"/>
            <w:right w:val="none" w:sz="0" w:space="0" w:color="auto"/>
          </w:divBdr>
        </w:div>
        <w:div w:id="501360758">
          <w:marLeft w:val="835"/>
          <w:marRight w:val="0"/>
          <w:marTop w:val="96"/>
          <w:marBottom w:val="0"/>
          <w:divBdr>
            <w:top w:val="none" w:sz="0" w:space="0" w:color="auto"/>
            <w:left w:val="none" w:sz="0" w:space="0" w:color="auto"/>
            <w:bottom w:val="none" w:sz="0" w:space="0" w:color="auto"/>
            <w:right w:val="none" w:sz="0" w:space="0" w:color="auto"/>
          </w:divBdr>
        </w:div>
      </w:divsChild>
    </w:div>
    <w:div w:id="501360639">
      <w:marLeft w:val="0"/>
      <w:marRight w:val="0"/>
      <w:marTop w:val="0"/>
      <w:marBottom w:val="0"/>
      <w:divBdr>
        <w:top w:val="none" w:sz="0" w:space="0" w:color="auto"/>
        <w:left w:val="none" w:sz="0" w:space="0" w:color="auto"/>
        <w:bottom w:val="none" w:sz="0" w:space="0" w:color="auto"/>
        <w:right w:val="none" w:sz="0" w:space="0" w:color="auto"/>
      </w:divBdr>
      <w:divsChild>
        <w:div w:id="501360712">
          <w:marLeft w:val="1699"/>
          <w:marRight w:val="0"/>
          <w:marTop w:val="96"/>
          <w:marBottom w:val="0"/>
          <w:divBdr>
            <w:top w:val="none" w:sz="0" w:space="0" w:color="auto"/>
            <w:left w:val="none" w:sz="0" w:space="0" w:color="auto"/>
            <w:bottom w:val="none" w:sz="0" w:space="0" w:color="auto"/>
            <w:right w:val="none" w:sz="0" w:space="0" w:color="auto"/>
          </w:divBdr>
        </w:div>
        <w:div w:id="501360834">
          <w:marLeft w:val="706"/>
          <w:marRight w:val="0"/>
          <w:marTop w:val="96"/>
          <w:marBottom w:val="0"/>
          <w:divBdr>
            <w:top w:val="none" w:sz="0" w:space="0" w:color="auto"/>
            <w:left w:val="none" w:sz="0" w:space="0" w:color="auto"/>
            <w:bottom w:val="none" w:sz="0" w:space="0" w:color="auto"/>
            <w:right w:val="none" w:sz="0" w:space="0" w:color="auto"/>
          </w:divBdr>
        </w:div>
      </w:divsChild>
    </w:div>
    <w:div w:id="501360640">
      <w:marLeft w:val="0"/>
      <w:marRight w:val="0"/>
      <w:marTop w:val="0"/>
      <w:marBottom w:val="0"/>
      <w:divBdr>
        <w:top w:val="none" w:sz="0" w:space="0" w:color="auto"/>
        <w:left w:val="none" w:sz="0" w:space="0" w:color="auto"/>
        <w:bottom w:val="none" w:sz="0" w:space="0" w:color="auto"/>
        <w:right w:val="none" w:sz="0" w:space="0" w:color="auto"/>
      </w:divBdr>
    </w:div>
    <w:div w:id="501360643">
      <w:marLeft w:val="0"/>
      <w:marRight w:val="0"/>
      <w:marTop w:val="0"/>
      <w:marBottom w:val="0"/>
      <w:divBdr>
        <w:top w:val="none" w:sz="0" w:space="0" w:color="auto"/>
        <w:left w:val="none" w:sz="0" w:space="0" w:color="auto"/>
        <w:bottom w:val="none" w:sz="0" w:space="0" w:color="auto"/>
        <w:right w:val="none" w:sz="0" w:space="0" w:color="auto"/>
      </w:divBdr>
    </w:div>
    <w:div w:id="501360644">
      <w:marLeft w:val="0"/>
      <w:marRight w:val="0"/>
      <w:marTop w:val="0"/>
      <w:marBottom w:val="0"/>
      <w:divBdr>
        <w:top w:val="none" w:sz="0" w:space="0" w:color="auto"/>
        <w:left w:val="none" w:sz="0" w:space="0" w:color="auto"/>
        <w:bottom w:val="none" w:sz="0" w:space="0" w:color="auto"/>
        <w:right w:val="none" w:sz="0" w:space="0" w:color="auto"/>
      </w:divBdr>
    </w:div>
    <w:div w:id="501360646">
      <w:marLeft w:val="0"/>
      <w:marRight w:val="0"/>
      <w:marTop w:val="0"/>
      <w:marBottom w:val="0"/>
      <w:divBdr>
        <w:top w:val="none" w:sz="0" w:space="0" w:color="auto"/>
        <w:left w:val="none" w:sz="0" w:space="0" w:color="auto"/>
        <w:bottom w:val="none" w:sz="0" w:space="0" w:color="auto"/>
        <w:right w:val="none" w:sz="0" w:space="0" w:color="auto"/>
      </w:divBdr>
    </w:div>
    <w:div w:id="501360647">
      <w:marLeft w:val="0"/>
      <w:marRight w:val="0"/>
      <w:marTop w:val="0"/>
      <w:marBottom w:val="0"/>
      <w:divBdr>
        <w:top w:val="none" w:sz="0" w:space="0" w:color="auto"/>
        <w:left w:val="none" w:sz="0" w:space="0" w:color="auto"/>
        <w:bottom w:val="none" w:sz="0" w:space="0" w:color="auto"/>
        <w:right w:val="none" w:sz="0" w:space="0" w:color="auto"/>
      </w:divBdr>
      <w:divsChild>
        <w:div w:id="501360637">
          <w:marLeft w:val="1757"/>
          <w:marRight w:val="0"/>
          <w:marTop w:val="96"/>
          <w:marBottom w:val="0"/>
          <w:divBdr>
            <w:top w:val="none" w:sz="0" w:space="0" w:color="auto"/>
            <w:left w:val="none" w:sz="0" w:space="0" w:color="auto"/>
            <w:bottom w:val="none" w:sz="0" w:space="0" w:color="auto"/>
            <w:right w:val="none" w:sz="0" w:space="0" w:color="auto"/>
          </w:divBdr>
        </w:div>
        <w:div w:id="501360677">
          <w:marLeft w:val="2736"/>
          <w:marRight w:val="0"/>
          <w:marTop w:val="96"/>
          <w:marBottom w:val="0"/>
          <w:divBdr>
            <w:top w:val="none" w:sz="0" w:space="0" w:color="auto"/>
            <w:left w:val="none" w:sz="0" w:space="0" w:color="auto"/>
            <w:bottom w:val="none" w:sz="0" w:space="0" w:color="auto"/>
            <w:right w:val="none" w:sz="0" w:space="0" w:color="auto"/>
          </w:divBdr>
        </w:div>
        <w:div w:id="501360766">
          <w:marLeft w:val="2736"/>
          <w:marRight w:val="0"/>
          <w:marTop w:val="96"/>
          <w:marBottom w:val="0"/>
          <w:divBdr>
            <w:top w:val="none" w:sz="0" w:space="0" w:color="auto"/>
            <w:left w:val="none" w:sz="0" w:space="0" w:color="auto"/>
            <w:bottom w:val="none" w:sz="0" w:space="0" w:color="auto"/>
            <w:right w:val="none" w:sz="0" w:space="0" w:color="auto"/>
          </w:divBdr>
        </w:div>
      </w:divsChild>
    </w:div>
    <w:div w:id="501360653">
      <w:marLeft w:val="0"/>
      <w:marRight w:val="0"/>
      <w:marTop w:val="0"/>
      <w:marBottom w:val="0"/>
      <w:divBdr>
        <w:top w:val="none" w:sz="0" w:space="0" w:color="auto"/>
        <w:left w:val="none" w:sz="0" w:space="0" w:color="auto"/>
        <w:bottom w:val="none" w:sz="0" w:space="0" w:color="auto"/>
        <w:right w:val="none" w:sz="0" w:space="0" w:color="auto"/>
      </w:divBdr>
      <w:divsChild>
        <w:div w:id="501360667">
          <w:marLeft w:val="1166"/>
          <w:marRight w:val="0"/>
          <w:marTop w:val="77"/>
          <w:marBottom w:val="0"/>
          <w:divBdr>
            <w:top w:val="none" w:sz="0" w:space="0" w:color="auto"/>
            <w:left w:val="none" w:sz="0" w:space="0" w:color="auto"/>
            <w:bottom w:val="none" w:sz="0" w:space="0" w:color="auto"/>
            <w:right w:val="none" w:sz="0" w:space="0" w:color="auto"/>
          </w:divBdr>
        </w:div>
        <w:div w:id="501360681">
          <w:marLeft w:val="547"/>
          <w:marRight w:val="0"/>
          <w:marTop w:val="86"/>
          <w:marBottom w:val="0"/>
          <w:divBdr>
            <w:top w:val="none" w:sz="0" w:space="0" w:color="auto"/>
            <w:left w:val="none" w:sz="0" w:space="0" w:color="auto"/>
            <w:bottom w:val="none" w:sz="0" w:space="0" w:color="auto"/>
            <w:right w:val="none" w:sz="0" w:space="0" w:color="auto"/>
          </w:divBdr>
        </w:div>
        <w:div w:id="501360821">
          <w:marLeft w:val="547"/>
          <w:marRight w:val="0"/>
          <w:marTop w:val="86"/>
          <w:marBottom w:val="0"/>
          <w:divBdr>
            <w:top w:val="none" w:sz="0" w:space="0" w:color="auto"/>
            <w:left w:val="none" w:sz="0" w:space="0" w:color="auto"/>
            <w:bottom w:val="none" w:sz="0" w:space="0" w:color="auto"/>
            <w:right w:val="none" w:sz="0" w:space="0" w:color="auto"/>
          </w:divBdr>
        </w:div>
      </w:divsChild>
    </w:div>
    <w:div w:id="501360654">
      <w:marLeft w:val="0"/>
      <w:marRight w:val="0"/>
      <w:marTop w:val="0"/>
      <w:marBottom w:val="0"/>
      <w:divBdr>
        <w:top w:val="none" w:sz="0" w:space="0" w:color="auto"/>
        <w:left w:val="none" w:sz="0" w:space="0" w:color="auto"/>
        <w:bottom w:val="none" w:sz="0" w:space="0" w:color="auto"/>
        <w:right w:val="none" w:sz="0" w:space="0" w:color="auto"/>
      </w:divBdr>
      <w:divsChild>
        <w:div w:id="501360630">
          <w:marLeft w:val="576"/>
          <w:marRight w:val="0"/>
          <w:marTop w:val="80"/>
          <w:marBottom w:val="0"/>
          <w:divBdr>
            <w:top w:val="none" w:sz="0" w:space="0" w:color="auto"/>
            <w:left w:val="none" w:sz="0" w:space="0" w:color="auto"/>
            <w:bottom w:val="none" w:sz="0" w:space="0" w:color="auto"/>
            <w:right w:val="none" w:sz="0" w:space="0" w:color="auto"/>
          </w:divBdr>
        </w:div>
        <w:div w:id="501360760">
          <w:marLeft w:val="576"/>
          <w:marRight w:val="0"/>
          <w:marTop w:val="80"/>
          <w:marBottom w:val="0"/>
          <w:divBdr>
            <w:top w:val="none" w:sz="0" w:space="0" w:color="auto"/>
            <w:left w:val="none" w:sz="0" w:space="0" w:color="auto"/>
            <w:bottom w:val="none" w:sz="0" w:space="0" w:color="auto"/>
            <w:right w:val="none" w:sz="0" w:space="0" w:color="auto"/>
          </w:divBdr>
        </w:div>
      </w:divsChild>
    </w:div>
    <w:div w:id="501360655">
      <w:marLeft w:val="0"/>
      <w:marRight w:val="0"/>
      <w:marTop w:val="0"/>
      <w:marBottom w:val="0"/>
      <w:divBdr>
        <w:top w:val="none" w:sz="0" w:space="0" w:color="auto"/>
        <w:left w:val="none" w:sz="0" w:space="0" w:color="auto"/>
        <w:bottom w:val="none" w:sz="0" w:space="0" w:color="auto"/>
        <w:right w:val="none" w:sz="0" w:space="0" w:color="auto"/>
      </w:divBdr>
      <w:divsChild>
        <w:div w:id="501360622">
          <w:marLeft w:val="0"/>
          <w:marRight w:val="0"/>
          <w:marTop w:val="0"/>
          <w:marBottom w:val="0"/>
          <w:divBdr>
            <w:top w:val="none" w:sz="0" w:space="0" w:color="auto"/>
            <w:left w:val="none" w:sz="0" w:space="0" w:color="auto"/>
            <w:bottom w:val="none" w:sz="0" w:space="0" w:color="auto"/>
            <w:right w:val="none" w:sz="0" w:space="0" w:color="auto"/>
          </w:divBdr>
        </w:div>
        <w:div w:id="501360695">
          <w:marLeft w:val="0"/>
          <w:marRight w:val="0"/>
          <w:marTop w:val="0"/>
          <w:marBottom w:val="0"/>
          <w:divBdr>
            <w:top w:val="none" w:sz="0" w:space="0" w:color="auto"/>
            <w:left w:val="none" w:sz="0" w:space="0" w:color="auto"/>
            <w:bottom w:val="none" w:sz="0" w:space="0" w:color="auto"/>
            <w:right w:val="none" w:sz="0" w:space="0" w:color="auto"/>
          </w:divBdr>
        </w:div>
        <w:div w:id="501360704">
          <w:marLeft w:val="0"/>
          <w:marRight w:val="0"/>
          <w:marTop w:val="0"/>
          <w:marBottom w:val="0"/>
          <w:divBdr>
            <w:top w:val="none" w:sz="0" w:space="0" w:color="auto"/>
            <w:left w:val="none" w:sz="0" w:space="0" w:color="auto"/>
            <w:bottom w:val="none" w:sz="0" w:space="0" w:color="auto"/>
            <w:right w:val="none" w:sz="0" w:space="0" w:color="auto"/>
          </w:divBdr>
        </w:div>
        <w:div w:id="501360808">
          <w:marLeft w:val="0"/>
          <w:marRight w:val="0"/>
          <w:marTop w:val="0"/>
          <w:marBottom w:val="0"/>
          <w:divBdr>
            <w:top w:val="none" w:sz="0" w:space="0" w:color="auto"/>
            <w:left w:val="none" w:sz="0" w:space="0" w:color="auto"/>
            <w:bottom w:val="none" w:sz="0" w:space="0" w:color="auto"/>
            <w:right w:val="none" w:sz="0" w:space="0" w:color="auto"/>
          </w:divBdr>
        </w:div>
      </w:divsChild>
    </w:div>
    <w:div w:id="501360656">
      <w:marLeft w:val="0"/>
      <w:marRight w:val="0"/>
      <w:marTop w:val="0"/>
      <w:marBottom w:val="0"/>
      <w:divBdr>
        <w:top w:val="none" w:sz="0" w:space="0" w:color="auto"/>
        <w:left w:val="none" w:sz="0" w:space="0" w:color="auto"/>
        <w:bottom w:val="none" w:sz="0" w:space="0" w:color="auto"/>
        <w:right w:val="none" w:sz="0" w:space="0" w:color="auto"/>
      </w:divBdr>
      <w:divsChild>
        <w:div w:id="501360665">
          <w:marLeft w:val="1757"/>
          <w:marRight w:val="0"/>
          <w:marTop w:val="96"/>
          <w:marBottom w:val="0"/>
          <w:divBdr>
            <w:top w:val="none" w:sz="0" w:space="0" w:color="auto"/>
            <w:left w:val="none" w:sz="0" w:space="0" w:color="auto"/>
            <w:bottom w:val="none" w:sz="0" w:space="0" w:color="auto"/>
            <w:right w:val="none" w:sz="0" w:space="0" w:color="auto"/>
          </w:divBdr>
        </w:div>
      </w:divsChild>
    </w:div>
    <w:div w:id="501360657">
      <w:marLeft w:val="0"/>
      <w:marRight w:val="0"/>
      <w:marTop w:val="0"/>
      <w:marBottom w:val="0"/>
      <w:divBdr>
        <w:top w:val="none" w:sz="0" w:space="0" w:color="auto"/>
        <w:left w:val="none" w:sz="0" w:space="0" w:color="auto"/>
        <w:bottom w:val="none" w:sz="0" w:space="0" w:color="auto"/>
        <w:right w:val="none" w:sz="0" w:space="0" w:color="auto"/>
      </w:divBdr>
    </w:div>
    <w:div w:id="501360658">
      <w:marLeft w:val="0"/>
      <w:marRight w:val="0"/>
      <w:marTop w:val="0"/>
      <w:marBottom w:val="0"/>
      <w:divBdr>
        <w:top w:val="none" w:sz="0" w:space="0" w:color="auto"/>
        <w:left w:val="none" w:sz="0" w:space="0" w:color="auto"/>
        <w:bottom w:val="none" w:sz="0" w:space="0" w:color="auto"/>
        <w:right w:val="none" w:sz="0" w:space="0" w:color="auto"/>
      </w:divBdr>
      <w:divsChild>
        <w:div w:id="501360743">
          <w:marLeft w:val="0"/>
          <w:marRight w:val="0"/>
          <w:marTop w:val="0"/>
          <w:marBottom w:val="0"/>
          <w:divBdr>
            <w:top w:val="none" w:sz="0" w:space="0" w:color="auto"/>
            <w:left w:val="none" w:sz="0" w:space="0" w:color="auto"/>
            <w:bottom w:val="none" w:sz="0" w:space="0" w:color="auto"/>
            <w:right w:val="none" w:sz="0" w:space="0" w:color="auto"/>
          </w:divBdr>
        </w:div>
        <w:div w:id="501360807">
          <w:marLeft w:val="0"/>
          <w:marRight w:val="0"/>
          <w:marTop w:val="0"/>
          <w:marBottom w:val="0"/>
          <w:divBdr>
            <w:top w:val="none" w:sz="0" w:space="0" w:color="auto"/>
            <w:left w:val="none" w:sz="0" w:space="0" w:color="auto"/>
            <w:bottom w:val="none" w:sz="0" w:space="0" w:color="auto"/>
            <w:right w:val="none" w:sz="0" w:space="0" w:color="auto"/>
          </w:divBdr>
        </w:div>
      </w:divsChild>
    </w:div>
    <w:div w:id="501360660">
      <w:marLeft w:val="0"/>
      <w:marRight w:val="0"/>
      <w:marTop w:val="0"/>
      <w:marBottom w:val="0"/>
      <w:divBdr>
        <w:top w:val="none" w:sz="0" w:space="0" w:color="auto"/>
        <w:left w:val="none" w:sz="0" w:space="0" w:color="auto"/>
        <w:bottom w:val="none" w:sz="0" w:space="0" w:color="auto"/>
        <w:right w:val="none" w:sz="0" w:space="0" w:color="auto"/>
      </w:divBdr>
      <w:divsChild>
        <w:div w:id="501360626">
          <w:marLeft w:val="0"/>
          <w:marRight w:val="0"/>
          <w:marTop w:val="0"/>
          <w:marBottom w:val="0"/>
          <w:divBdr>
            <w:top w:val="none" w:sz="0" w:space="0" w:color="auto"/>
            <w:left w:val="none" w:sz="0" w:space="0" w:color="auto"/>
            <w:bottom w:val="none" w:sz="0" w:space="0" w:color="auto"/>
            <w:right w:val="none" w:sz="0" w:space="0" w:color="auto"/>
          </w:divBdr>
        </w:div>
        <w:div w:id="501360668">
          <w:marLeft w:val="0"/>
          <w:marRight w:val="0"/>
          <w:marTop w:val="0"/>
          <w:marBottom w:val="0"/>
          <w:divBdr>
            <w:top w:val="none" w:sz="0" w:space="0" w:color="auto"/>
            <w:left w:val="none" w:sz="0" w:space="0" w:color="auto"/>
            <w:bottom w:val="none" w:sz="0" w:space="0" w:color="auto"/>
            <w:right w:val="none" w:sz="0" w:space="0" w:color="auto"/>
          </w:divBdr>
        </w:div>
        <w:div w:id="501360688">
          <w:marLeft w:val="0"/>
          <w:marRight w:val="0"/>
          <w:marTop w:val="0"/>
          <w:marBottom w:val="0"/>
          <w:divBdr>
            <w:top w:val="none" w:sz="0" w:space="0" w:color="auto"/>
            <w:left w:val="none" w:sz="0" w:space="0" w:color="auto"/>
            <w:bottom w:val="none" w:sz="0" w:space="0" w:color="auto"/>
            <w:right w:val="none" w:sz="0" w:space="0" w:color="auto"/>
          </w:divBdr>
        </w:div>
        <w:div w:id="501360722">
          <w:marLeft w:val="0"/>
          <w:marRight w:val="0"/>
          <w:marTop w:val="0"/>
          <w:marBottom w:val="0"/>
          <w:divBdr>
            <w:top w:val="none" w:sz="0" w:space="0" w:color="auto"/>
            <w:left w:val="none" w:sz="0" w:space="0" w:color="auto"/>
            <w:bottom w:val="none" w:sz="0" w:space="0" w:color="auto"/>
            <w:right w:val="none" w:sz="0" w:space="0" w:color="auto"/>
          </w:divBdr>
        </w:div>
        <w:div w:id="501360754">
          <w:marLeft w:val="0"/>
          <w:marRight w:val="0"/>
          <w:marTop w:val="0"/>
          <w:marBottom w:val="0"/>
          <w:divBdr>
            <w:top w:val="none" w:sz="0" w:space="0" w:color="auto"/>
            <w:left w:val="none" w:sz="0" w:space="0" w:color="auto"/>
            <w:bottom w:val="none" w:sz="0" w:space="0" w:color="auto"/>
            <w:right w:val="none" w:sz="0" w:space="0" w:color="auto"/>
          </w:divBdr>
        </w:div>
        <w:div w:id="501360759">
          <w:marLeft w:val="0"/>
          <w:marRight w:val="0"/>
          <w:marTop w:val="0"/>
          <w:marBottom w:val="0"/>
          <w:divBdr>
            <w:top w:val="none" w:sz="0" w:space="0" w:color="auto"/>
            <w:left w:val="none" w:sz="0" w:space="0" w:color="auto"/>
            <w:bottom w:val="none" w:sz="0" w:space="0" w:color="auto"/>
            <w:right w:val="none" w:sz="0" w:space="0" w:color="auto"/>
          </w:divBdr>
        </w:div>
        <w:div w:id="501360765">
          <w:marLeft w:val="0"/>
          <w:marRight w:val="0"/>
          <w:marTop w:val="0"/>
          <w:marBottom w:val="0"/>
          <w:divBdr>
            <w:top w:val="none" w:sz="0" w:space="0" w:color="auto"/>
            <w:left w:val="none" w:sz="0" w:space="0" w:color="auto"/>
            <w:bottom w:val="none" w:sz="0" w:space="0" w:color="auto"/>
            <w:right w:val="none" w:sz="0" w:space="0" w:color="auto"/>
          </w:divBdr>
        </w:div>
        <w:div w:id="501360771">
          <w:marLeft w:val="0"/>
          <w:marRight w:val="0"/>
          <w:marTop w:val="0"/>
          <w:marBottom w:val="0"/>
          <w:divBdr>
            <w:top w:val="none" w:sz="0" w:space="0" w:color="auto"/>
            <w:left w:val="none" w:sz="0" w:space="0" w:color="auto"/>
            <w:bottom w:val="none" w:sz="0" w:space="0" w:color="auto"/>
            <w:right w:val="none" w:sz="0" w:space="0" w:color="auto"/>
          </w:divBdr>
        </w:div>
        <w:div w:id="501360780">
          <w:marLeft w:val="0"/>
          <w:marRight w:val="0"/>
          <w:marTop w:val="0"/>
          <w:marBottom w:val="0"/>
          <w:divBdr>
            <w:top w:val="none" w:sz="0" w:space="0" w:color="auto"/>
            <w:left w:val="none" w:sz="0" w:space="0" w:color="auto"/>
            <w:bottom w:val="none" w:sz="0" w:space="0" w:color="auto"/>
            <w:right w:val="none" w:sz="0" w:space="0" w:color="auto"/>
          </w:divBdr>
        </w:div>
        <w:div w:id="501360783">
          <w:marLeft w:val="0"/>
          <w:marRight w:val="0"/>
          <w:marTop w:val="0"/>
          <w:marBottom w:val="0"/>
          <w:divBdr>
            <w:top w:val="none" w:sz="0" w:space="0" w:color="auto"/>
            <w:left w:val="none" w:sz="0" w:space="0" w:color="auto"/>
            <w:bottom w:val="none" w:sz="0" w:space="0" w:color="auto"/>
            <w:right w:val="none" w:sz="0" w:space="0" w:color="auto"/>
          </w:divBdr>
        </w:div>
        <w:div w:id="501360799">
          <w:marLeft w:val="0"/>
          <w:marRight w:val="0"/>
          <w:marTop w:val="0"/>
          <w:marBottom w:val="0"/>
          <w:divBdr>
            <w:top w:val="none" w:sz="0" w:space="0" w:color="auto"/>
            <w:left w:val="none" w:sz="0" w:space="0" w:color="auto"/>
            <w:bottom w:val="none" w:sz="0" w:space="0" w:color="auto"/>
            <w:right w:val="none" w:sz="0" w:space="0" w:color="auto"/>
          </w:divBdr>
        </w:div>
        <w:div w:id="501360812">
          <w:marLeft w:val="0"/>
          <w:marRight w:val="0"/>
          <w:marTop w:val="0"/>
          <w:marBottom w:val="0"/>
          <w:divBdr>
            <w:top w:val="none" w:sz="0" w:space="0" w:color="auto"/>
            <w:left w:val="none" w:sz="0" w:space="0" w:color="auto"/>
            <w:bottom w:val="none" w:sz="0" w:space="0" w:color="auto"/>
            <w:right w:val="none" w:sz="0" w:space="0" w:color="auto"/>
          </w:divBdr>
        </w:div>
      </w:divsChild>
    </w:div>
    <w:div w:id="501360661">
      <w:marLeft w:val="0"/>
      <w:marRight w:val="0"/>
      <w:marTop w:val="0"/>
      <w:marBottom w:val="0"/>
      <w:divBdr>
        <w:top w:val="none" w:sz="0" w:space="0" w:color="auto"/>
        <w:left w:val="none" w:sz="0" w:space="0" w:color="auto"/>
        <w:bottom w:val="none" w:sz="0" w:space="0" w:color="auto"/>
        <w:right w:val="none" w:sz="0" w:space="0" w:color="auto"/>
      </w:divBdr>
      <w:divsChild>
        <w:div w:id="501360674">
          <w:marLeft w:val="1757"/>
          <w:marRight w:val="0"/>
          <w:marTop w:val="115"/>
          <w:marBottom w:val="0"/>
          <w:divBdr>
            <w:top w:val="none" w:sz="0" w:space="0" w:color="auto"/>
            <w:left w:val="none" w:sz="0" w:space="0" w:color="auto"/>
            <w:bottom w:val="none" w:sz="0" w:space="0" w:color="auto"/>
            <w:right w:val="none" w:sz="0" w:space="0" w:color="auto"/>
          </w:divBdr>
        </w:div>
        <w:div w:id="501360803">
          <w:marLeft w:val="1757"/>
          <w:marRight w:val="0"/>
          <w:marTop w:val="106"/>
          <w:marBottom w:val="0"/>
          <w:divBdr>
            <w:top w:val="none" w:sz="0" w:space="0" w:color="auto"/>
            <w:left w:val="none" w:sz="0" w:space="0" w:color="auto"/>
            <w:bottom w:val="none" w:sz="0" w:space="0" w:color="auto"/>
            <w:right w:val="none" w:sz="0" w:space="0" w:color="auto"/>
          </w:divBdr>
        </w:div>
      </w:divsChild>
    </w:div>
    <w:div w:id="501360666">
      <w:marLeft w:val="0"/>
      <w:marRight w:val="0"/>
      <w:marTop w:val="0"/>
      <w:marBottom w:val="0"/>
      <w:divBdr>
        <w:top w:val="none" w:sz="0" w:space="0" w:color="auto"/>
        <w:left w:val="none" w:sz="0" w:space="0" w:color="auto"/>
        <w:bottom w:val="none" w:sz="0" w:space="0" w:color="auto"/>
        <w:right w:val="none" w:sz="0" w:space="0" w:color="auto"/>
      </w:divBdr>
      <w:divsChild>
        <w:div w:id="501360687">
          <w:marLeft w:val="0"/>
          <w:marRight w:val="0"/>
          <w:marTop w:val="115"/>
          <w:marBottom w:val="0"/>
          <w:divBdr>
            <w:top w:val="none" w:sz="0" w:space="0" w:color="auto"/>
            <w:left w:val="none" w:sz="0" w:space="0" w:color="auto"/>
            <w:bottom w:val="none" w:sz="0" w:space="0" w:color="auto"/>
            <w:right w:val="none" w:sz="0" w:space="0" w:color="auto"/>
          </w:divBdr>
        </w:div>
        <w:div w:id="501360801">
          <w:marLeft w:val="0"/>
          <w:marRight w:val="0"/>
          <w:marTop w:val="115"/>
          <w:marBottom w:val="0"/>
          <w:divBdr>
            <w:top w:val="none" w:sz="0" w:space="0" w:color="auto"/>
            <w:left w:val="none" w:sz="0" w:space="0" w:color="auto"/>
            <w:bottom w:val="none" w:sz="0" w:space="0" w:color="auto"/>
            <w:right w:val="none" w:sz="0" w:space="0" w:color="auto"/>
          </w:divBdr>
        </w:div>
      </w:divsChild>
    </w:div>
    <w:div w:id="501360669">
      <w:marLeft w:val="0"/>
      <w:marRight w:val="0"/>
      <w:marTop w:val="0"/>
      <w:marBottom w:val="0"/>
      <w:divBdr>
        <w:top w:val="none" w:sz="0" w:space="0" w:color="auto"/>
        <w:left w:val="none" w:sz="0" w:space="0" w:color="auto"/>
        <w:bottom w:val="none" w:sz="0" w:space="0" w:color="auto"/>
        <w:right w:val="none" w:sz="0" w:space="0" w:color="auto"/>
      </w:divBdr>
    </w:div>
    <w:div w:id="501360670">
      <w:marLeft w:val="0"/>
      <w:marRight w:val="0"/>
      <w:marTop w:val="0"/>
      <w:marBottom w:val="0"/>
      <w:divBdr>
        <w:top w:val="none" w:sz="0" w:space="0" w:color="auto"/>
        <w:left w:val="none" w:sz="0" w:space="0" w:color="auto"/>
        <w:bottom w:val="none" w:sz="0" w:space="0" w:color="auto"/>
        <w:right w:val="none" w:sz="0" w:space="0" w:color="auto"/>
      </w:divBdr>
    </w:div>
    <w:div w:id="501360671">
      <w:marLeft w:val="0"/>
      <w:marRight w:val="0"/>
      <w:marTop w:val="0"/>
      <w:marBottom w:val="0"/>
      <w:divBdr>
        <w:top w:val="none" w:sz="0" w:space="0" w:color="auto"/>
        <w:left w:val="none" w:sz="0" w:space="0" w:color="auto"/>
        <w:bottom w:val="none" w:sz="0" w:space="0" w:color="auto"/>
        <w:right w:val="none" w:sz="0" w:space="0" w:color="auto"/>
      </w:divBdr>
    </w:div>
    <w:div w:id="501360675">
      <w:marLeft w:val="0"/>
      <w:marRight w:val="0"/>
      <w:marTop w:val="0"/>
      <w:marBottom w:val="0"/>
      <w:divBdr>
        <w:top w:val="none" w:sz="0" w:space="0" w:color="auto"/>
        <w:left w:val="none" w:sz="0" w:space="0" w:color="auto"/>
        <w:bottom w:val="none" w:sz="0" w:space="0" w:color="auto"/>
        <w:right w:val="none" w:sz="0" w:space="0" w:color="auto"/>
      </w:divBdr>
    </w:div>
    <w:div w:id="501360678">
      <w:marLeft w:val="0"/>
      <w:marRight w:val="0"/>
      <w:marTop w:val="0"/>
      <w:marBottom w:val="0"/>
      <w:divBdr>
        <w:top w:val="none" w:sz="0" w:space="0" w:color="auto"/>
        <w:left w:val="none" w:sz="0" w:space="0" w:color="auto"/>
        <w:bottom w:val="none" w:sz="0" w:space="0" w:color="auto"/>
        <w:right w:val="none" w:sz="0" w:space="0" w:color="auto"/>
      </w:divBdr>
    </w:div>
    <w:div w:id="501360690">
      <w:marLeft w:val="0"/>
      <w:marRight w:val="0"/>
      <w:marTop w:val="0"/>
      <w:marBottom w:val="0"/>
      <w:divBdr>
        <w:top w:val="none" w:sz="0" w:space="0" w:color="auto"/>
        <w:left w:val="none" w:sz="0" w:space="0" w:color="auto"/>
        <w:bottom w:val="none" w:sz="0" w:space="0" w:color="auto"/>
        <w:right w:val="none" w:sz="0" w:space="0" w:color="auto"/>
      </w:divBdr>
    </w:div>
    <w:div w:id="501360691">
      <w:marLeft w:val="0"/>
      <w:marRight w:val="0"/>
      <w:marTop w:val="0"/>
      <w:marBottom w:val="0"/>
      <w:divBdr>
        <w:top w:val="none" w:sz="0" w:space="0" w:color="auto"/>
        <w:left w:val="none" w:sz="0" w:space="0" w:color="auto"/>
        <w:bottom w:val="none" w:sz="0" w:space="0" w:color="auto"/>
        <w:right w:val="none" w:sz="0" w:space="0" w:color="auto"/>
      </w:divBdr>
      <w:divsChild>
        <w:div w:id="501360684">
          <w:marLeft w:val="576"/>
          <w:marRight w:val="0"/>
          <w:marTop w:val="80"/>
          <w:marBottom w:val="0"/>
          <w:divBdr>
            <w:top w:val="none" w:sz="0" w:space="0" w:color="auto"/>
            <w:left w:val="none" w:sz="0" w:space="0" w:color="auto"/>
            <w:bottom w:val="none" w:sz="0" w:space="0" w:color="auto"/>
            <w:right w:val="none" w:sz="0" w:space="0" w:color="auto"/>
          </w:divBdr>
        </w:div>
        <w:div w:id="501360731">
          <w:marLeft w:val="576"/>
          <w:marRight w:val="0"/>
          <w:marTop w:val="80"/>
          <w:marBottom w:val="0"/>
          <w:divBdr>
            <w:top w:val="none" w:sz="0" w:space="0" w:color="auto"/>
            <w:left w:val="none" w:sz="0" w:space="0" w:color="auto"/>
            <w:bottom w:val="none" w:sz="0" w:space="0" w:color="auto"/>
            <w:right w:val="none" w:sz="0" w:space="0" w:color="auto"/>
          </w:divBdr>
        </w:div>
        <w:div w:id="501360740">
          <w:marLeft w:val="1354"/>
          <w:marRight w:val="0"/>
          <w:marTop w:val="70"/>
          <w:marBottom w:val="0"/>
          <w:divBdr>
            <w:top w:val="none" w:sz="0" w:space="0" w:color="auto"/>
            <w:left w:val="none" w:sz="0" w:space="0" w:color="auto"/>
            <w:bottom w:val="none" w:sz="0" w:space="0" w:color="auto"/>
            <w:right w:val="none" w:sz="0" w:space="0" w:color="auto"/>
          </w:divBdr>
        </w:div>
        <w:div w:id="501360769">
          <w:marLeft w:val="576"/>
          <w:marRight w:val="0"/>
          <w:marTop w:val="80"/>
          <w:marBottom w:val="0"/>
          <w:divBdr>
            <w:top w:val="none" w:sz="0" w:space="0" w:color="auto"/>
            <w:left w:val="none" w:sz="0" w:space="0" w:color="auto"/>
            <w:bottom w:val="none" w:sz="0" w:space="0" w:color="auto"/>
            <w:right w:val="none" w:sz="0" w:space="0" w:color="auto"/>
          </w:divBdr>
        </w:div>
      </w:divsChild>
    </w:div>
    <w:div w:id="501360697">
      <w:marLeft w:val="0"/>
      <w:marRight w:val="0"/>
      <w:marTop w:val="0"/>
      <w:marBottom w:val="0"/>
      <w:divBdr>
        <w:top w:val="none" w:sz="0" w:space="0" w:color="auto"/>
        <w:left w:val="none" w:sz="0" w:space="0" w:color="auto"/>
        <w:bottom w:val="none" w:sz="0" w:space="0" w:color="auto"/>
        <w:right w:val="none" w:sz="0" w:space="0" w:color="auto"/>
      </w:divBdr>
    </w:div>
    <w:div w:id="501360698">
      <w:marLeft w:val="0"/>
      <w:marRight w:val="0"/>
      <w:marTop w:val="0"/>
      <w:marBottom w:val="0"/>
      <w:divBdr>
        <w:top w:val="none" w:sz="0" w:space="0" w:color="auto"/>
        <w:left w:val="none" w:sz="0" w:space="0" w:color="auto"/>
        <w:bottom w:val="none" w:sz="0" w:space="0" w:color="auto"/>
        <w:right w:val="none" w:sz="0" w:space="0" w:color="auto"/>
      </w:divBdr>
    </w:div>
    <w:div w:id="501360700">
      <w:marLeft w:val="0"/>
      <w:marRight w:val="0"/>
      <w:marTop w:val="0"/>
      <w:marBottom w:val="0"/>
      <w:divBdr>
        <w:top w:val="none" w:sz="0" w:space="0" w:color="auto"/>
        <w:left w:val="none" w:sz="0" w:space="0" w:color="auto"/>
        <w:bottom w:val="none" w:sz="0" w:space="0" w:color="auto"/>
        <w:right w:val="none" w:sz="0" w:space="0" w:color="auto"/>
      </w:divBdr>
    </w:div>
    <w:div w:id="501360701">
      <w:marLeft w:val="0"/>
      <w:marRight w:val="0"/>
      <w:marTop w:val="0"/>
      <w:marBottom w:val="0"/>
      <w:divBdr>
        <w:top w:val="none" w:sz="0" w:space="0" w:color="auto"/>
        <w:left w:val="none" w:sz="0" w:space="0" w:color="auto"/>
        <w:bottom w:val="none" w:sz="0" w:space="0" w:color="auto"/>
        <w:right w:val="none" w:sz="0" w:space="0" w:color="auto"/>
      </w:divBdr>
    </w:div>
    <w:div w:id="501360702">
      <w:marLeft w:val="0"/>
      <w:marRight w:val="0"/>
      <w:marTop w:val="0"/>
      <w:marBottom w:val="0"/>
      <w:divBdr>
        <w:top w:val="none" w:sz="0" w:space="0" w:color="auto"/>
        <w:left w:val="none" w:sz="0" w:space="0" w:color="auto"/>
        <w:bottom w:val="none" w:sz="0" w:space="0" w:color="auto"/>
        <w:right w:val="none" w:sz="0" w:space="0" w:color="auto"/>
      </w:divBdr>
    </w:div>
    <w:div w:id="501360703">
      <w:marLeft w:val="0"/>
      <w:marRight w:val="0"/>
      <w:marTop w:val="0"/>
      <w:marBottom w:val="0"/>
      <w:divBdr>
        <w:top w:val="none" w:sz="0" w:space="0" w:color="auto"/>
        <w:left w:val="none" w:sz="0" w:space="0" w:color="auto"/>
        <w:bottom w:val="none" w:sz="0" w:space="0" w:color="auto"/>
        <w:right w:val="none" w:sz="0" w:space="0" w:color="auto"/>
      </w:divBdr>
    </w:div>
    <w:div w:id="501360705">
      <w:marLeft w:val="0"/>
      <w:marRight w:val="0"/>
      <w:marTop w:val="0"/>
      <w:marBottom w:val="0"/>
      <w:divBdr>
        <w:top w:val="none" w:sz="0" w:space="0" w:color="auto"/>
        <w:left w:val="none" w:sz="0" w:space="0" w:color="auto"/>
        <w:bottom w:val="none" w:sz="0" w:space="0" w:color="auto"/>
        <w:right w:val="none" w:sz="0" w:space="0" w:color="auto"/>
      </w:divBdr>
    </w:div>
    <w:div w:id="501360711">
      <w:marLeft w:val="0"/>
      <w:marRight w:val="0"/>
      <w:marTop w:val="0"/>
      <w:marBottom w:val="0"/>
      <w:divBdr>
        <w:top w:val="none" w:sz="0" w:space="0" w:color="auto"/>
        <w:left w:val="none" w:sz="0" w:space="0" w:color="auto"/>
        <w:bottom w:val="none" w:sz="0" w:space="0" w:color="auto"/>
        <w:right w:val="none" w:sz="0" w:space="0" w:color="auto"/>
      </w:divBdr>
    </w:div>
    <w:div w:id="501360717">
      <w:marLeft w:val="0"/>
      <w:marRight w:val="0"/>
      <w:marTop w:val="0"/>
      <w:marBottom w:val="0"/>
      <w:divBdr>
        <w:top w:val="none" w:sz="0" w:space="0" w:color="auto"/>
        <w:left w:val="none" w:sz="0" w:space="0" w:color="auto"/>
        <w:bottom w:val="none" w:sz="0" w:space="0" w:color="auto"/>
        <w:right w:val="none" w:sz="0" w:space="0" w:color="auto"/>
      </w:divBdr>
    </w:div>
    <w:div w:id="501360718">
      <w:marLeft w:val="0"/>
      <w:marRight w:val="0"/>
      <w:marTop w:val="0"/>
      <w:marBottom w:val="0"/>
      <w:divBdr>
        <w:top w:val="none" w:sz="0" w:space="0" w:color="auto"/>
        <w:left w:val="none" w:sz="0" w:space="0" w:color="auto"/>
        <w:bottom w:val="none" w:sz="0" w:space="0" w:color="auto"/>
        <w:right w:val="none" w:sz="0" w:space="0" w:color="auto"/>
      </w:divBdr>
      <w:divsChild>
        <w:div w:id="501360618">
          <w:marLeft w:val="0"/>
          <w:marRight w:val="0"/>
          <w:marTop w:val="0"/>
          <w:marBottom w:val="0"/>
          <w:divBdr>
            <w:top w:val="none" w:sz="0" w:space="0" w:color="auto"/>
            <w:left w:val="none" w:sz="0" w:space="0" w:color="auto"/>
            <w:bottom w:val="none" w:sz="0" w:space="0" w:color="auto"/>
            <w:right w:val="none" w:sz="0" w:space="0" w:color="auto"/>
          </w:divBdr>
        </w:div>
        <w:div w:id="501360619">
          <w:marLeft w:val="0"/>
          <w:marRight w:val="0"/>
          <w:marTop w:val="0"/>
          <w:marBottom w:val="0"/>
          <w:divBdr>
            <w:top w:val="none" w:sz="0" w:space="0" w:color="auto"/>
            <w:left w:val="none" w:sz="0" w:space="0" w:color="auto"/>
            <w:bottom w:val="none" w:sz="0" w:space="0" w:color="auto"/>
            <w:right w:val="none" w:sz="0" w:space="0" w:color="auto"/>
          </w:divBdr>
        </w:div>
        <w:div w:id="501360623">
          <w:marLeft w:val="0"/>
          <w:marRight w:val="0"/>
          <w:marTop w:val="0"/>
          <w:marBottom w:val="0"/>
          <w:divBdr>
            <w:top w:val="none" w:sz="0" w:space="0" w:color="auto"/>
            <w:left w:val="none" w:sz="0" w:space="0" w:color="auto"/>
            <w:bottom w:val="none" w:sz="0" w:space="0" w:color="auto"/>
            <w:right w:val="none" w:sz="0" w:space="0" w:color="auto"/>
          </w:divBdr>
        </w:div>
        <w:div w:id="501360625">
          <w:marLeft w:val="0"/>
          <w:marRight w:val="0"/>
          <w:marTop w:val="0"/>
          <w:marBottom w:val="0"/>
          <w:divBdr>
            <w:top w:val="none" w:sz="0" w:space="0" w:color="auto"/>
            <w:left w:val="none" w:sz="0" w:space="0" w:color="auto"/>
            <w:bottom w:val="none" w:sz="0" w:space="0" w:color="auto"/>
            <w:right w:val="none" w:sz="0" w:space="0" w:color="auto"/>
          </w:divBdr>
        </w:div>
        <w:div w:id="501360629">
          <w:marLeft w:val="0"/>
          <w:marRight w:val="0"/>
          <w:marTop w:val="0"/>
          <w:marBottom w:val="0"/>
          <w:divBdr>
            <w:top w:val="none" w:sz="0" w:space="0" w:color="auto"/>
            <w:left w:val="none" w:sz="0" w:space="0" w:color="auto"/>
            <w:bottom w:val="none" w:sz="0" w:space="0" w:color="auto"/>
            <w:right w:val="none" w:sz="0" w:space="0" w:color="auto"/>
          </w:divBdr>
        </w:div>
        <w:div w:id="501360631">
          <w:marLeft w:val="0"/>
          <w:marRight w:val="0"/>
          <w:marTop w:val="0"/>
          <w:marBottom w:val="0"/>
          <w:divBdr>
            <w:top w:val="none" w:sz="0" w:space="0" w:color="auto"/>
            <w:left w:val="none" w:sz="0" w:space="0" w:color="auto"/>
            <w:bottom w:val="none" w:sz="0" w:space="0" w:color="auto"/>
            <w:right w:val="none" w:sz="0" w:space="0" w:color="auto"/>
          </w:divBdr>
        </w:div>
        <w:div w:id="501360632">
          <w:marLeft w:val="0"/>
          <w:marRight w:val="0"/>
          <w:marTop w:val="0"/>
          <w:marBottom w:val="0"/>
          <w:divBdr>
            <w:top w:val="none" w:sz="0" w:space="0" w:color="auto"/>
            <w:left w:val="none" w:sz="0" w:space="0" w:color="auto"/>
            <w:bottom w:val="none" w:sz="0" w:space="0" w:color="auto"/>
            <w:right w:val="none" w:sz="0" w:space="0" w:color="auto"/>
          </w:divBdr>
        </w:div>
        <w:div w:id="501360633">
          <w:marLeft w:val="0"/>
          <w:marRight w:val="0"/>
          <w:marTop w:val="0"/>
          <w:marBottom w:val="0"/>
          <w:divBdr>
            <w:top w:val="none" w:sz="0" w:space="0" w:color="auto"/>
            <w:left w:val="none" w:sz="0" w:space="0" w:color="auto"/>
            <w:bottom w:val="none" w:sz="0" w:space="0" w:color="auto"/>
            <w:right w:val="none" w:sz="0" w:space="0" w:color="auto"/>
          </w:divBdr>
        </w:div>
        <w:div w:id="501360641">
          <w:marLeft w:val="0"/>
          <w:marRight w:val="0"/>
          <w:marTop w:val="0"/>
          <w:marBottom w:val="0"/>
          <w:divBdr>
            <w:top w:val="none" w:sz="0" w:space="0" w:color="auto"/>
            <w:left w:val="none" w:sz="0" w:space="0" w:color="auto"/>
            <w:bottom w:val="none" w:sz="0" w:space="0" w:color="auto"/>
            <w:right w:val="none" w:sz="0" w:space="0" w:color="auto"/>
          </w:divBdr>
        </w:div>
        <w:div w:id="501360645">
          <w:marLeft w:val="0"/>
          <w:marRight w:val="0"/>
          <w:marTop w:val="0"/>
          <w:marBottom w:val="0"/>
          <w:divBdr>
            <w:top w:val="none" w:sz="0" w:space="0" w:color="auto"/>
            <w:left w:val="none" w:sz="0" w:space="0" w:color="auto"/>
            <w:bottom w:val="none" w:sz="0" w:space="0" w:color="auto"/>
            <w:right w:val="none" w:sz="0" w:space="0" w:color="auto"/>
          </w:divBdr>
        </w:div>
        <w:div w:id="501360648">
          <w:marLeft w:val="0"/>
          <w:marRight w:val="0"/>
          <w:marTop w:val="0"/>
          <w:marBottom w:val="0"/>
          <w:divBdr>
            <w:top w:val="none" w:sz="0" w:space="0" w:color="auto"/>
            <w:left w:val="none" w:sz="0" w:space="0" w:color="auto"/>
            <w:bottom w:val="none" w:sz="0" w:space="0" w:color="auto"/>
            <w:right w:val="none" w:sz="0" w:space="0" w:color="auto"/>
          </w:divBdr>
        </w:div>
        <w:div w:id="501360649">
          <w:marLeft w:val="0"/>
          <w:marRight w:val="0"/>
          <w:marTop w:val="0"/>
          <w:marBottom w:val="0"/>
          <w:divBdr>
            <w:top w:val="none" w:sz="0" w:space="0" w:color="auto"/>
            <w:left w:val="none" w:sz="0" w:space="0" w:color="auto"/>
            <w:bottom w:val="none" w:sz="0" w:space="0" w:color="auto"/>
            <w:right w:val="none" w:sz="0" w:space="0" w:color="auto"/>
          </w:divBdr>
        </w:div>
        <w:div w:id="501360650">
          <w:marLeft w:val="0"/>
          <w:marRight w:val="0"/>
          <w:marTop w:val="0"/>
          <w:marBottom w:val="0"/>
          <w:divBdr>
            <w:top w:val="none" w:sz="0" w:space="0" w:color="auto"/>
            <w:left w:val="none" w:sz="0" w:space="0" w:color="auto"/>
            <w:bottom w:val="none" w:sz="0" w:space="0" w:color="auto"/>
            <w:right w:val="none" w:sz="0" w:space="0" w:color="auto"/>
          </w:divBdr>
        </w:div>
        <w:div w:id="501360663">
          <w:marLeft w:val="0"/>
          <w:marRight w:val="0"/>
          <w:marTop w:val="0"/>
          <w:marBottom w:val="0"/>
          <w:divBdr>
            <w:top w:val="none" w:sz="0" w:space="0" w:color="auto"/>
            <w:left w:val="none" w:sz="0" w:space="0" w:color="auto"/>
            <w:bottom w:val="none" w:sz="0" w:space="0" w:color="auto"/>
            <w:right w:val="none" w:sz="0" w:space="0" w:color="auto"/>
          </w:divBdr>
        </w:div>
        <w:div w:id="501360673">
          <w:marLeft w:val="0"/>
          <w:marRight w:val="0"/>
          <w:marTop w:val="0"/>
          <w:marBottom w:val="0"/>
          <w:divBdr>
            <w:top w:val="none" w:sz="0" w:space="0" w:color="auto"/>
            <w:left w:val="none" w:sz="0" w:space="0" w:color="auto"/>
            <w:bottom w:val="none" w:sz="0" w:space="0" w:color="auto"/>
            <w:right w:val="none" w:sz="0" w:space="0" w:color="auto"/>
          </w:divBdr>
        </w:div>
        <w:div w:id="501360679">
          <w:marLeft w:val="0"/>
          <w:marRight w:val="0"/>
          <w:marTop w:val="0"/>
          <w:marBottom w:val="0"/>
          <w:divBdr>
            <w:top w:val="none" w:sz="0" w:space="0" w:color="auto"/>
            <w:left w:val="none" w:sz="0" w:space="0" w:color="auto"/>
            <w:bottom w:val="none" w:sz="0" w:space="0" w:color="auto"/>
            <w:right w:val="none" w:sz="0" w:space="0" w:color="auto"/>
          </w:divBdr>
        </w:div>
        <w:div w:id="501360682">
          <w:marLeft w:val="0"/>
          <w:marRight w:val="0"/>
          <w:marTop w:val="0"/>
          <w:marBottom w:val="0"/>
          <w:divBdr>
            <w:top w:val="none" w:sz="0" w:space="0" w:color="auto"/>
            <w:left w:val="none" w:sz="0" w:space="0" w:color="auto"/>
            <w:bottom w:val="none" w:sz="0" w:space="0" w:color="auto"/>
            <w:right w:val="none" w:sz="0" w:space="0" w:color="auto"/>
          </w:divBdr>
        </w:div>
        <w:div w:id="501360694">
          <w:marLeft w:val="0"/>
          <w:marRight w:val="0"/>
          <w:marTop w:val="0"/>
          <w:marBottom w:val="0"/>
          <w:divBdr>
            <w:top w:val="none" w:sz="0" w:space="0" w:color="auto"/>
            <w:left w:val="none" w:sz="0" w:space="0" w:color="auto"/>
            <w:bottom w:val="none" w:sz="0" w:space="0" w:color="auto"/>
            <w:right w:val="none" w:sz="0" w:space="0" w:color="auto"/>
          </w:divBdr>
        </w:div>
        <w:div w:id="501360710">
          <w:marLeft w:val="0"/>
          <w:marRight w:val="0"/>
          <w:marTop w:val="0"/>
          <w:marBottom w:val="0"/>
          <w:divBdr>
            <w:top w:val="none" w:sz="0" w:space="0" w:color="auto"/>
            <w:left w:val="none" w:sz="0" w:space="0" w:color="auto"/>
            <w:bottom w:val="none" w:sz="0" w:space="0" w:color="auto"/>
            <w:right w:val="none" w:sz="0" w:space="0" w:color="auto"/>
          </w:divBdr>
        </w:div>
        <w:div w:id="501360713">
          <w:marLeft w:val="0"/>
          <w:marRight w:val="0"/>
          <w:marTop w:val="0"/>
          <w:marBottom w:val="0"/>
          <w:divBdr>
            <w:top w:val="none" w:sz="0" w:space="0" w:color="auto"/>
            <w:left w:val="none" w:sz="0" w:space="0" w:color="auto"/>
            <w:bottom w:val="none" w:sz="0" w:space="0" w:color="auto"/>
            <w:right w:val="none" w:sz="0" w:space="0" w:color="auto"/>
          </w:divBdr>
        </w:div>
        <w:div w:id="501360714">
          <w:marLeft w:val="0"/>
          <w:marRight w:val="0"/>
          <w:marTop w:val="0"/>
          <w:marBottom w:val="0"/>
          <w:divBdr>
            <w:top w:val="none" w:sz="0" w:space="0" w:color="auto"/>
            <w:left w:val="none" w:sz="0" w:space="0" w:color="auto"/>
            <w:bottom w:val="none" w:sz="0" w:space="0" w:color="auto"/>
            <w:right w:val="none" w:sz="0" w:space="0" w:color="auto"/>
          </w:divBdr>
        </w:div>
        <w:div w:id="501360724">
          <w:marLeft w:val="0"/>
          <w:marRight w:val="0"/>
          <w:marTop w:val="0"/>
          <w:marBottom w:val="0"/>
          <w:divBdr>
            <w:top w:val="none" w:sz="0" w:space="0" w:color="auto"/>
            <w:left w:val="none" w:sz="0" w:space="0" w:color="auto"/>
            <w:bottom w:val="none" w:sz="0" w:space="0" w:color="auto"/>
            <w:right w:val="none" w:sz="0" w:space="0" w:color="auto"/>
          </w:divBdr>
        </w:div>
        <w:div w:id="501360734">
          <w:marLeft w:val="0"/>
          <w:marRight w:val="0"/>
          <w:marTop w:val="0"/>
          <w:marBottom w:val="0"/>
          <w:divBdr>
            <w:top w:val="none" w:sz="0" w:space="0" w:color="auto"/>
            <w:left w:val="none" w:sz="0" w:space="0" w:color="auto"/>
            <w:bottom w:val="none" w:sz="0" w:space="0" w:color="auto"/>
            <w:right w:val="none" w:sz="0" w:space="0" w:color="auto"/>
          </w:divBdr>
        </w:div>
        <w:div w:id="501360747">
          <w:marLeft w:val="0"/>
          <w:marRight w:val="0"/>
          <w:marTop w:val="0"/>
          <w:marBottom w:val="0"/>
          <w:divBdr>
            <w:top w:val="none" w:sz="0" w:space="0" w:color="auto"/>
            <w:left w:val="none" w:sz="0" w:space="0" w:color="auto"/>
            <w:bottom w:val="none" w:sz="0" w:space="0" w:color="auto"/>
            <w:right w:val="none" w:sz="0" w:space="0" w:color="auto"/>
          </w:divBdr>
        </w:div>
        <w:div w:id="501360756">
          <w:marLeft w:val="0"/>
          <w:marRight w:val="0"/>
          <w:marTop w:val="0"/>
          <w:marBottom w:val="0"/>
          <w:divBdr>
            <w:top w:val="none" w:sz="0" w:space="0" w:color="auto"/>
            <w:left w:val="none" w:sz="0" w:space="0" w:color="auto"/>
            <w:bottom w:val="none" w:sz="0" w:space="0" w:color="auto"/>
            <w:right w:val="none" w:sz="0" w:space="0" w:color="auto"/>
          </w:divBdr>
        </w:div>
        <w:div w:id="501360757">
          <w:marLeft w:val="0"/>
          <w:marRight w:val="0"/>
          <w:marTop w:val="0"/>
          <w:marBottom w:val="0"/>
          <w:divBdr>
            <w:top w:val="none" w:sz="0" w:space="0" w:color="auto"/>
            <w:left w:val="none" w:sz="0" w:space="0" w:color="auto"/>
            <w:bottom w:val="none" w:sz="0" w:space="0" w:color="auto"/>
            <w:right w:val="none" w:sz="0" w:space="0" w:color="auto"/>
          </w:divBdr>
        </w:div>
        <w:div w:id="501360764">
          <w:marLeft w:val="0"/>
          <w:marRight w:val="0"/>
          <w:marTop w:val="0"/>
          <w:marBottom w:val="0"/>
          <w:divBdr>
            <w:top w:val="none" w:sz="0" w:space="0" w:color="auto"/>
            <w:left w:val="none" w:sz="0" w:space="0" w:color="auto"/>
            <w:bottom w:val="none" w:sz="0" w:space="0" w:color="auto"/>
            <w:right w:val="none" w:sz="0" w:space="0" w:color="auto"/>
          </w:divBdr>
        </w:div>
        <w:div w:id="501360768">
          <w:marLeft w:val="0"/>
          <w:marRight w:val="0"/>
          <w:marTop w:val="0"/>
          <w:marBottom w:val="0"/>
          <w:divBdr>
            <w:top w:val="none" w:sz="0" w:space="0" w:color="auto"/>
            <w:left w:val="none" w:sz="0" w:space="0" w:color="auto"/>
            <w:bottom w:val="none" w:sz="0" w:space="0" w:color="auto"/>
            <w:right w:val="none" w:sz="0" w:space="0" w:color="auto"/>
          </w:divBdr>
        </w:div>
        <w:div w:id="501360777">
          <w:marLeft w:val="0"/>
          <w:marRight w:val="0"/>
          <w:marTop w:val="0"/>
          <w:marBottom w:val="0"/>
          <w:divBdr>
            <w:top w:val="none" w:sz="0" w:space="0" w:color="auto"/>
            <w:left w:val="none" w:sz="0" w:space="0" w:color="auto"/>
            <w:bottom w:val="none" w:sz="0" w:space="0" w:color="auto"/>
            <w:right w:val="none" w:sz="0" w:space="0" w:color="auto"/>
          </w:divBdr>
        </w:div>
        <w:div w:id="501360786">
          <w:marLeft w:val="0"/>
          <w:marRight w:val="0"/>
          <w:marTop w:val="0"/>
          <w:marBottom w:val="0"/>
          <w:divBdr>
            <w:top w:val="none" w:sz="0" w:space="0" w:color="auto"/>
            <w:left w:val="none" w:sz="0" w:space="0" w:color="auto"/>
            <w:bottom w:val="none" w:sz="0" w:space="0" w:color="auto"/>
            <w:right w:val="none" w:sz="0" w:space="0" w:color="auto"/>
          </w:divBdr>
        </w:div>
        <w:div w:id="501360790">
          <w:marLeft w:val="0"/>
          <w:marRight w:val="0"/>
          <w:marTop w:val="0"/>
          <w:marBottom w:val="0"/>
          <w:divBdr>
            <w:top w:val="none" w:sz="0" w:space="0" w:color="auto"/>
            <w:left w:val="none" w:sz="0" w:space="0" w:color="auto"/>
            <w:bottom w:val="none" w:sz="0" w:space="0" w:color="auto"/>
            <w:right w:val="none" w:sz="0" w:space="0" w:color="auto"/>
          </w:divBdr>
        </w:div>
        <w:div w:id="501360794">
          <w:marLeft w:val="0"/>
          <w:marRight w:val="0"/>
          <w:marTop w:val="0"/>
          <w:marBottom w:val="0"/>
          <w:divBdr>
            <w:top w:val="none" w:sz="0" w:space="0" w:color="auto"/>
            <w:left w:val="none" w:sz="0" w:space="0" w:color="auto"/>
            <w:bottom w:val="none" w:sz="0" w:space="0" w:color="auto"/>
            <w:right w:val="none" w:sz="0" w:space="0" w:color="auto"/>
          </w:divBdr>
        </w:div>
        <w:div w:id="501360805">
          <w:marLeft w:val="0"/>
          <w:marRight w:val="0"/>
          <w:marTop w:val="0"/>
          <w:marBottom w:val="0"/>
          <w:divBdr>
            <w:top w:val="none" w:sz="0" w:space="0" w:color="auto"/>
            <w:left w:val="none" w:sz="0" w:space="0" w:color="auto"/>
            <w:bottom w:val="none" w:sz="0" w:space="0" w:color="auto"/>
            <w:right w:val="none" w:sz="0" w:space="0" w:color="auto"/>
          </w:divBdr>
        </w:div>
        <w:div w:id="501360824">
          <w:marLeft w:val="0"/>
          <w:marRight w:val="0"/>
          <w:marTop w:val="0"/>
          <w:marBottom w:val="0"/>
          <w:divBdr>
            <w:top w:val="none" w:sz="0" w:space="0" w:color="auto"/>
            <w:left w:val="none" w:sz="0" w:space="0" w:color="auto"/>
            <w:bottom w:val="none" w:sz="0" w:space="0" w:color="auto"/>
            <w:right w:val="none" w:sz="0" w:space="0" w:color="auto"/>
          </w:divBdr>
        </w:div>
        <w:div w:id="501360829">
          <w:marLeft w:val="0"/>
          <w:marRight w:val="0"/>
          <w:marTop w:val="0"/>
          <w:marBottom w:val="0"/>
          <w:divBdr>
            <w:top w:val="none" w:sz="0" w:space="0" w:color="auto"/>
            <w:left w:val="none" w:sz="0" w:space="0" w:color="auto"/>
            <w:bottom w:val="none" w:sz="0" w:space="0" w:color="auto"/>
            <w:right w:val="none" w:sz="0" w:space="0" w:color="auto"/>
          </w:divBdr>
        </w:div>
        <w:div w:id="501360833">
          <w:marLeft w:val="0"/>
          <w:marRight w:val="0"/>
          <w:marTop w:val="0"/>
          <w:marBottom w:val="0"/>
          <w:divBdr>
            <w:top w:val="none" w:sz="0" w:space="0" w:color="auto"/>
            <w:left w:val="none" w:sz="0" w:space="0" w:color="auto"/>
            <w:bottom w:val="none" w:sz="0" w:space="0" w:color="auto"/>
            <w:right w:val="none" w:sz="0" w:space="0" w:color="auto"/>
          </w:divBdr>
        </w:div>
      </w:divsChild>
    </w:div>
    <w:div w:id="501360719">
      <w:marLeft w:val="0"/>
      <w:marRight w:val="0"/>
      <w:marTop w:val="0"/>
      <w:marBottom w:val="0"/>
      <w:divBdr>
        <w:top w:val="none" w:sz="0" w:space="0" w:color="auto"/>
        <w:left w:val="none" w:sz="0" w:space="0" w:color="auto"/>
        <w:bottom w:val="none" w:sz="0" w:space="0" w:color="auto"/>
        <w:right w:val="none" w:sz="0" w:space="0" w:color="auto"/>
      </w:divBdr>
    </w:div>
    <w:div w:id="501360725">
      <w:marLeft w:val="0"/>
      <w:marRight w:val="0"/>
      <w:marTop w:val="0"/>
      <w:marBottom w:val="0"/>
      <w:divBdr>
        <w:top w:val="none" w:sz="0" w:space="0" w:color="auto"/>
        <w:left w:val="none" w:sz="0" w:space="0" w:color="auto"/>
        <w:bottom w:val="none" w:sz="0" w:space="0" w:color="auto"/>
        <w:right w:val="none" w:sz="0" w:space="0" w:color="auto"/>
      </w:divBdr>
      <w:divsChild>
        <w:div w:id="501360616">
          <w:marLeft w:val="0"/>
          <w:marRight w:val="0"/>
          <w:marTop w:val="0"/>
          <w:marBottom w:val="0"/>
          <w:divBdr>
            <w:top w:val="none" w:sz="0" w:space="0" w:color="auto"/>
            <w:left w:val="none" w:sz="0" w:space="0" w:color="auto"/>
            <w:bottom w:val="none" w:sz="0" w:space="0" w:color="auto"/>
            <w:right w:val="none" w:sz="0" w:space="0" w:color="auto"/>
          </w:divBdr>
        </w:div>
        <w:div w:id="501360664">
          <w:marLeft w:val="0"/>
          <w:marRight w:val="0"/>
          <w:marTop w:val="0"/>
          <w:marBottom w:val="0"/>
          <w:divBdr>
            <w:top w:val="none" w:sz="0" w:space="0" w:color="auto"/>
            <w:left w:val="none" w:sz="0" w:space="0" w:color="auto"/>
            <w:bottom w:val="none" w:sz="0" w:space="0" w:color="auto"/>
            <w:right w:val="none" w:sz="0" w:space="0" w:color="auto"/>
          </w:divBdr>
        </w:div>
        <w:div w:id="501360721">
          <w:marLeft w:val="0"/>
          <w:marRight w:val="0"/>
          <w:marTop w:val="0"/>
          <w:marBottom w:val="0"/>
          <w:divBdr>
            <w:top w:val="none" w:sz="0" w:space="0" w:color="auto"/>
            <w:left w:val="none" w:sz="0" w:space="0" w:color="auto"/>
            <w:bottom w:val="none" w:sz="0" w:space="0" w:color="auto"/>
            <w:right w:val="none" w:sz="0" w:space="0" w:color="auto"/>
          </w:divBdr>
        </w:div>
        <w:div w:id="501360789">
          <w:marLeft w:val="0"/>
          <w:marRight w:val="0"/>
          <w:marTop w:val="0"/>
          <w:marBottom w:val="0"/>
          <w:divBdr>
            <w:top w:val="none" w:sz="0" w:space="0" w:color="auto"/>
            <w:left w:val="none" w:sz="0" w:space="0" w:color="auto"/>
            <w:bottom w:val="none" w:sz="0" w:space="0" w:color="auto"/>
            <w:right w:val="none" w:sz="0" w:space="0" w:color="auto"/>
          </w:divBdr>
        </w:div>
        <w:div w:id="501360817">
          <w:marLeft w:val="0"/>
          <w:marRight w:val="0"/>
          <w:marTop w:val="0"/>
          <w:marBottom w:val="0"/>
          <w:divBdr>
            <w:top w:val="none" w:sz="0" w:space="0" w:color="auto"/>
            <w:left w:val="none" w:sz="0" w:space="0" w:color="auto"/>
            <w:bottom w:val="none" w:sz="0" w:space="0" w:color="auto"/>
            <w:right w:val="none" w:sz="0" w:space="0" w:color="auto"/>
          </w:divBdr>
        </w:div>
        <w:div w:id="501360818">
          <w:marLeft w:val="0"/>
          <w:marRight w:val="0"/>
          <w:marTop w:val="0"/>
          <w:marBottom w:val="0"/>
          <w:divBdr>
            <w:top w:val="none" w:sz="0" w:space="0" w:color="auto"/>
            <w:left w:val="none" w:sz="0" w:space="0" w:color="auto"/>
            <w:bottom w:val="none" w:sz="0" w:space="0" w:color="auto"/>
            <w:right w:val="none" w:sz="0" w:space="0" w:color="auto"/>
          </w:divBdr>
        </w:div>
      </w:divsChild>
    </w:div>
    <w:div w:id="501360726">
      <w:marLeft w:val="0"/>
      <w:marRight w:val="0"/>
      <w:marTop w:val="0"/>
      <w:marBottom w:val="0"/>
      <w:divBdr>
        <w:top w:val="none" w:sz="0" w:space="0" w:color="auto"/>
        <w:left w:val="none" w:sz="0" w:space="0" w:color="auto"/>
        <w:bottom w:val="none" w:sz="0" w:space="0" w:color="auto"/>
        <w:right w:val="none" w:sz="0" w:space="0" w:color="auto"/>
      </w:divBdr>
      <w:divsChild>
        <w:div w:id="501360634">
          <w:marLeft w:val="0"/>
          <w:marRight w:val="0"/>
          <w:marTop w:val="0"/>
          <w:marBottom w:val="0"/>
          <w:divBdr>
            <w:top w:val="none" w:sz="0" w:space="0" w:color="auto"/>
            <w:left w:val="none" w:sz="0" w:space="0" w:color="auto"/>
            <w:bottom w:val="none" w:sz="0" w:space="0" w:color="auto"/>
            <w:right w:val="none" w:sz="0" w:space="0" w:color="auto"/>
          </w:divBdr>
        </w:div>
        <w:div w:id="501360662">
          <w:marLeft w:val="0"/>
          <w:marRight w:val="0"/>
          <w:marTop w:val="0"/>
          <w:marBottom w:val="0"/>
          <w:divBdr>
            <w:top w:val="none" w:sz="0" w:space="0" w:color="auto"/>
            <w:left w:val="none" w:sz="0" w:space="0" w:color="auto"/>
            <w:bottom w:val="none" w:sz="0" w:space="0" w:color="auto"/>
            <w:right w:val="none" w:sz="0" w:space="0" w:color="auto"/>
          </w:divBdr>
        </w:div>
        <w:div w:id="501360689">
          <w:marLeft w:val="0"/>
          <w:marRight w:val="0"/>
          <w:marTop w:val="0"/>
          <w:marBottom w:val="0"/>
          <w:divBdr>
            <w:top w:val="none" w:sz="0" w:space="0" w:color="auto"/>
            <w:left w:val="none" w:sz="0" w:space="0" w:color="auto"/>
            <w:bottom w:val="none" w:sz="0" w:space="0" w:color="auto"/>
            <w:right w:val="none" w:sz="0" w:space="0" w:color="auto"/>
          </w:divBdr>
        </w:div>
        <w:div w:id="501360828">
          <w:marLeft w:val="0"/>
          <w:marRight w:val="0"/>
          <w:marTop w:val="0"/>
          <w:marBottom w:val="0"/>
          <w:divBdr>
            <w:top w:val="none" w:sz="0" w:space="0" w:color="auto"/>
            <w:left w:val="none" w:sz="0" w:space="0" w:color="auto"/>
            <w:bottom w:val="none" w:sz="0" w:space="0" w:color="auto"/>
            <w:right w:val="none" w:sz="0" w:space="0" w:color="auto"/>
          </w:divBdr>
        </w:div>
      </w:divsChild>
    </w:div>
    <w:div w:id="501360732">
      <w:marLeft w:val="0"/>
      <w:marRight w:val="0"/>
      <w:marTop w:val="0"/>
      <w:marBottom w:val="0"/>
      <w:divBdr>
        <w:top w:val="none" w:sz="0" w:space="0" w:color="auto"/>
        <w:left w:val="none" w:sz="0" w:space="0" w:color="auto"/>
        <w:bottom w:val="none" w:sz="0" w:space="0" w:color="auto"/>
        <w:right w:val="none" w:sz="0" w:space="0" w:color="auto"/>
      </w:divBdr>
    </w:div>
    <w:div w:id="501360735">
      <w:marLeft w:val="0"/>
      <w:marRight w:val="0"/>
      <w:marTop w:val="0"/>
      <w:marBottom w:val="0"/>
      <w:divBdr>
        <w:top w:val="none" w:sz="0" w:space="0" w:color="auto"/>
        <w:left w:val="none" w:sz="0" w:space="0" w:color="auto"/>
        <w:bottom w:val="none" w:sz="0" w:space="0" w:color="auto"/>
        <w:right w:val="none" w:sz="0" w:space="0" w:color="auto"/>
      </w:divBdr>
      <w:divsChild>
        <w:div w:id="501360741">
          <w:marLeft w:val="446"/>
          <w:marRight w:val="0"/>
          <w:marTop w:val="0"/>
          <w:marBottom w:val="0"/>
          <w:divBdr>
            <w:top w:val="none" w:sz="0" w:space="0" w:color="auto"/>
            <w:left w:val="none" w:sz="0" w:space="0" w:color="auto"/>
            <w:bottom w:val="none" w:sz="0" w:space="0" w:color="auto"/>
            <w:right w:val="none" w:sz="0" w:space="0" w:color="auto"/>
          </w:divBdr>
        </w:div>
        <w:div w:id="501360774">
          <w:marLeft w:val="446"/>
          <w:marRight w:val="0"/>
          <w:marTop w:val="0"/>
          <w:marBottom w:val="0"/>
          <w:divBdr>
            <w:top w:val="none" w:sz="0" w:space="0" w:color="auto"/>
            <w:left w:val="none" w:sz="0" w:space="0" w:color="auto"/>
            <w:bottom w:val="none" w:sz="0" w:space="0" w:color="auto"/>
            <w:right w:val="none" w:sz="0" w:space="0" w:color="auto"/>
          </w:divBdr>
        </w:div>
        <w:div w:id="501360776">
          <w:marLeft w:val="446"/>
          <w:marRight w:val="0"/>
          <w:marTop w:val="0"/>
          <w:marBottom w:val="0"/>
          <w:divBdr>
            <w:top w:val="none" w:sz="0" w:space="0" w:color="auto"/>
            <w:left w:val="none" w:sz="0" w:space="0" w:color="auto"/>
            <w:bottom w:val="none" w:sz="0" w:space="0" w:color="auto"/>
            <w:right w:val="none" w:sz="0" w:space="0" w:color="auto"/>
          </w:divBdr>
        </w:div>
      </w:divsChild>
    </w:div>
    <w:div w:id="501360738">
      <w:marLeft w:val="0"/>
      <w:marRight w:val="0"/>
      <w:marTop w:val="0"/>
      <w:marBottom w:val="0"/>
      <w:divBdr>
        <w:top w:val="none" w:sz="0" w:space="0" w:color="auto"/>
        <w:left w:val="none" w:sz="0" w:space="0" w:color="auto"/>
        <w:bottom w:val="none" w:sz="0" w:space="0" w:color="auto"/>
        <w:right w:val="none" w:sz="0" w:space="0" w:color="auto"/>
      </w:divBdr>
      <w:divsChild>
        <w:div w:id="501360680">
          <w:marLeft w:val="1210"/>
          <w:marRight w:val="0"/>
          <w:marTop w:val="106"/>
          <w:marBottom w:val="0"/>
          <w:divBdr>
            <w:top w:val="none" w:sz="0" w:space="0" w:color="auto"/>
            <w:left w:val="none" w:sz="0" w:space="0" w:color="auto"/>
            <w:bottom w:val="none" w:sz="0" w:space="0" w:color="auto"/>
            <w:right w:val="none" w:sz="0" w:space="0" w:color="auto"/>
          </w:divBdr>
        </w:div>
        <w:div w:id="501360709">
          <w:marLeft w:val="936"/>
          <w:marRight w:val="0"/>
          <w:marTop w:val="106"/>
          <w:marBottom w:val="0"/>
          <w:divBdr>
            <w:top w:val="none" w:sz="0" w:space="0" w:color="auto"/>
            <w:left w:val="none" w:sz="0" w:space="0" w:color="auto"/>
            <w:bottom w:val="none" w:sz="0" w:space="0" w:color="auto"/>
            <w:right w:val="none" w:sz="0" w:space="0" w:color="auto"/>
          </w:divBdr>
        </w:div>
        <w:div w:id="501360728">
          <w:marLeft w:val="936"/>
          <w:marRight w:val="0"/>
          <w:marTop w:val="96"/>
          <w:marBottom w:val="0"/>
          <w:divBdr>
            <w:top w:val="none" w:sz="0" w:space="0" w:color="auto"/>
            <w:left w:val="none" w:sz="0" w:space="0" w:color="auto"/>
            <w:bottom w:val="none" w:sz="0" w:space="0" w:color="auto"/>
            <w:right w:val="none" w:sz="0" w:space="0" w:color="auto"/>
          </w:divBdr>
        </w:div>
        <w:div w:id="501360804">
          <w:marLeft w:val="1210"/>
          <w:marRight w:val="0"/>
          <w:marTop w:val="106"/>
          <w:marBottom w:val="0"/>
          <w:divBdr>
            <w:top w:val="none" w:sz="0" w:space="0" w:color="auto"/>
            <w:left w:val="none" w:sz="0" w:space="0" w:color="auto"/>
            <w:bottom w:val="none" w:sz="0" w:space="0" w:color="auto"/>
            <w:right w:val="none" w:sz="0" w:space="0" w:color="auto"/>
          </w:divBdr>
        </w:div>
      </w:divsChild>
    </w:div>
    <w:div w:id="501360739">
      <w:marLeft w:val="0"/>
      <w:marRight w:val="0"/>
      <w:marTop w:val="0"/>
      <w:marBottom w:val="0"/>
      <w:divBdr>
        <w:top w:val="none" w:sz="0" w:space="0" w:color="auto"/>
        <w:left w:val="none" w:sz="0" w:space="0" w:color="auto"/>
        <w:bottom w:val="none" w:sz="0" w:space="0" w:color="auto"/>
        <w:right w:val="none" w:sz="0" w:space="0" w:color="auto"/>
      </w:divBdr>
    </w:div>
    <w:div w:id="501360744">
      <w:marLeft w:val="0"/>
      <w:marRight w:val="0"/>
      <w:marTop w:val="0"/>
      <w:marBottom w:val="0"/>
      <w:divBdr>
        <w:top w:val="none" w:sz="0" w:space="0" w:color="auto"/>
        <w:left w:val="none" w:sz="0" w:space="0" w:color="auto"/>
        <w:bottom w:val="none" w:sz="0" w:space="0" w:color="auto"/>
        <w:right w:val="none" w:sz="0" w:space="0" w:color="auto"/>
      </w:divBdr>
    </w:div>
    <w:div w:id="501360746">
      <w:marLeft w:val="0"/>
      <w:marRight w:val="0"/>
      <w:marTop w:val="0"/>
      <w:marBottom w:val="0"/>
      <w:divBdr>
        <w:top w:val="none" w:sz="0" w:space="0" w:color="auto"/>
        <w:left w:val="none" w:sz="0" w:space="0" w:color="auto"/>
        <w:bottom w:val="none" w:sz="0" w:space="0" w:color="auto"/>
        <w:right w:val="none" w:sz="0" w:space="0" w:color="auto"/>
      </w:divBdr>
    </w:div>
    <w:div w:id="501360752">
      <w:marLeft w:val="0"/>
      <w:marRight w:val="0"/>
      <w:marTop w:val="0"/>
      <w:marBottom w:val="0"/>
      <w:divBdr>
        <w:top w:val="none" w:sz="0" w:space="0" w:color="auto"/>
        <w:left w:val="none" w:sz="0" w:space="0" w:color="auto"/>
        <w:bottom w:val="none" w:sz="0" w:space="0" w:color="auto"/>
        <w:right w:val="none" w:sz="0" w:space="0" w:color="auto"/>
      </w:divBdr>
    </w:div>
    <w:div w:id="501360761">
      <w:marLeft w:val="0"/>
      <w:marRight w:val="0"/>
      <w:marTop w:val="0"/>
      <w:marBottom w:val="0"/>
      <w:divBdr>
        <w:top w:val="none" w:sz="0" w:space="0" w:color="auto"/>
        <w:left w:val="none" w:sz="0" w:space="0" w:color="auto"/>
        <w:bottom w:val="none" w:sz="0" w:space="0" w:color="auto"/>
        <w:right w:val="none" w:sz="0" w:space="0" w:color="auto"/>
      </w:divBdr>
      <w:divsChild>
        <w:div w:id="501360685">
          <w:marLeft w:val="1728"/>
          <w:marRight w:val="0"/>
          <w:marTop w:val="82"/>
          <w:marBottom w:val="0"/>
          <w:divBdr>
            <w:top w:val="none" w:sz="0" w:space="0" w:color="auto"/>
            <w:left w:val="none" w:sz="0" w:space="0" w:color="auto"/>
            <w:bottom w:val="none" w:sz="0" w:space="0" w:color="auto"/>
            <w:right w:val="none" w:sz="0" w:space="0" w:color="auto"/>
          </w:divBdr>
        </w:div>
        <w:div w:id="501360706">
          <w:marLeft w:val="850"/>
          <w:marRight w:val="0"/>
          <w:marTop w:val="96"/>
          <w:marBottom w:val="0"/>
          <w:divBdr>
            <w:top w:val="none" w:sz="0" w:space="0" w:color="auto"/>
            <w:left w:val="none" w:sz="0" w:space="0" w:color="auto"/>
            <w:bottom w:val="none" w:sz="0" w:space="0" w:color="auto"/>
            <w:right w:val="none" w:sz="0" w:space="0" w:color="auto"/>
          </w:divBdr>
        </w:div>
        <w:div w:id="501360755">
          <w:marLeft w:val="1728"/>
          <w:marRight w:val="0"/>
          <w:marTop w:val="82"/>
          <w:marBottom w:val="0"/>
          <w:divBdr>
            <w:top w:val="none" w:sz="0" w:space="0" w:color="auto"/>
            <w:left w:val="none" w:sz="0" w:space="0" w:color="auto"/>
            <w:bottom w:val="none" w:sz="0" w:space="0" w:color="auto"/>
            <w:right w:val="none" w:sz="0" w:space="0" w:color="auto"/>
          </w:divBdr>
        </w:div>
        <w:div w:id="501360791">
          <w:marLeft w:val="288"/>
          <w:marRight w:val="0"/>
          <w:marTop w:val="96"/>
          <w:marBottom w:val="0"/>
          <w:divBdr>
            <w:top w:val="none" w:sz="0" w:space="0" w:color="auto"/>
            <w:left w:val="none" w:sz="0" w:space="0" w:color="auto"/>
            <w:bottom w:val="none" w:sz="0" w:space="0" w:color="auto"/>
            <w:right w:val="none" w:sz="0" w:space="0" w:color="auto"/>
          </w:divBdr>
        </w:div>
        <w:div w:id="501360800">
          <w:marLeft w:val="850"/>
          <w:marRight w:val="0"/>
          <w:marTop w:val="96"/>
          <w:marBottom w:val="0"/>
          <w:divBdr>
            <w:top w:val="none" w:sz="0" w:space="0" w:color="auto"/>
            <w:left w:val="none" w:sz="0" w:space="0" w:color="auto"/>
            <w:bottom w:val="none" w:sz="0" w:space="0" w:color="auto"/>
            <w:right w:val="none" w:sz="0" w:space="0" w:color="auto"/>
          </w:divBdr>
        </w:div>
      </w:divsChild>
    </w:div>
    <w:div w:id="501360762">
      <w:marLeft w:val="0"/>
      <w:marRight w:val="0"/>
      <w:marTop w:val="0"/>
      <w:marBottom w:val="0"/>
      <w:divBdr>
        <w:top w:val="none" w:sz="0" w:space="0" w:color="auto"/>
        <w:left w:val="none" w:sz="0" w:space="0" w:color="auto"/>
        <w:bottom w:val="none" w:sz="0" w:space="0" w:color="auto"/>
        <w:right w:val="none" w:sz="0" w:space="0" w:color="auto"/>
      </w:divBdr>
    </w:div>
    <w:div w:id="501360763">
      <w:marLeft w:val="0"/>
      <w:marRight w:val="0"/>
      <w:marTop w:val="0"/>
      <w:marBottom w:val="0"/>
      <w:divBdr>
        <w:top w:val="none" w:sz="0" w:space="0" w:color="auto"/>
        <w:left w:val="none" w:sz="0" w:space="0" w:color="auto"/>
        <w:bottom w:val="none" w:sz="0" w:space="0" w:color="auto"/>
        <w:right w:val="none" w:sz="0" w:space="0" w:color="auto"/>
      </w:divBdr>
      <w:divsChild>
        <w:div w:id="501360696">
          <w:marLeft w:val="1757"/>
          <w:marRight w:val="0"/>
          <w:marTop w:val="86"/>
          <w:marBottom w:val="0"/>
          <w:divBdr>
            <w:top w:val="none" w:sz="0" w:space="0" w:color="auto"/>
            <w:left w:val="none" w:sz="0" w:space="0" w:color="auto"/>
            <w:bottom w:val="none" w:sz="0" w:space="0" w:color="auto"/>
            <w:right w:val="none" w:sz="0" w:space="0" w:color="auto"/>
          </w:divBdr>
        </w:div>
        <w:div w:id="501360727">
          <w:marLeft w:val="1757"/>
          <w:marRight w:val="0"/>
          <w:marTop w:val="86"/>
          <w:marBottom w:val="0"/>
          <w:divBdr>
            <w:top w:val="none" w:sz="0" w:space="0" w:color="auto"/>
            <w:left w:val="none" w:sz="0" w:space="0" w:color="auto"/>
            <w:bottom w:val="none" w:sz="0" w:space="0" w:color="auto"/>
            <w:right w:val="none" w:sz="0" w:space="0" w:color="auto"/>
          </w:divBdr>
        </w:div>
      </w:divsChild>
    </w:div>
    <w:div w:id="501360770">
      <w:marLeft w:val="0"/>
      <w:marRight w:val="0"/>
      <w:marTop w:val="0"/>
      <w:marBottom w:val="0"/>
      <w:divBdr>
        <w:top w:val="none" w:sz="0" w:space="0" w:color="auto"/>
        <w:left w:val="none" w:sz="0" w:space="0" w:color="auto"/>
        <w:bottom w:val="none" w:sz="0" w:space="0" w:color="auto"/>
        <w:right w:val="none" w:sz="0" w:space="0" w:color="auto"/>
      </w:divBdr>
    </w:div>
    <w:div w:id="501360772">
      <w:marLeft w:val="0"/>
      <w:marRight w:val="0"/>
      <w:marTop w:val="0"/>
      <w:marBottom w:val="0"/>
      <w:divBdr>
        <w:top w:val="none" w:sz="0" w:space="0" w:color="auto"/>
        <w:left w:val="none" w:sz="0" w:space="0" w:color="auto"/>
        <w:bottom w:val="none" w:sz="0" w:space="0" w:color="auto"/>
        <w:right w:val="none" w:sz="0" w:space="0" w:color="auto"/>
      </w:divBdr>
      <w:divsChild>
        <w:div w:id="501360659">
          <w:marLeft w:val="1411"/>
          <w:marRight w:val="0"/>
          <w:marTop w:val="86"/>
          <w:marBottom w:val="0"/>
          <w:divBdr>
            <w:top w:val="none" w:sz="0" w:space="0" w:color="auto"/>
            <w:left w:val="none" w:sz="0" w:space="0" w:color="auto"/>
            <w:bottom w:val="none" w:sz="0" w:space="0" w:color="auto"/>
            <w:right w:val="none" w:sz="0" w:space="0" w:color="auto"/>
          </w:divBdr>
        </w:div>
        <w:div w:id="501360676">
          <w:marLeft w:val="1411"/>
          <w:marRight w:val="0"/>
          <w:marTop w:val="86"/>
          <w:marBottom w:val="0"/>
          <w:divBdr>
            <w:top w:val="none" w:sz="0" w:space="0" w:color="auto"/>
            <w:left w:val="none" w:sz="0" w:space="0" w:color="auto"/>
            <w:bottom w:val="none" w:sz="0" w:space="0" w:color="auto"/>
            <w:right w:val="none" w:sz="0" w:space="0" w:color="auto"/>
          </w:divBdr>
        </w:div>
        <w:div w:id="501360715">
          <w:marLeft w:val="1411"/>
          <w:marRight w:val="0"/>
          <w:marTop w:val="86"/>
          <w:marBottom w:val="0"/>
          <w:divBdr>
            <w:top w:val="none" w:sz="0" w:space="0" w:color="auto"/>
            <w:left w:val="none" w:sz="0" w:space="0" w:color="auto"/>
            <w:bottom w:val="none" w:sz="0" w:space="0" w:color="auto"/>
            <w:right w:val="none" w:sz="0" w:space="0" w:color="auto"/>
          </w:divBdr>
        </w:div>
        <w:div w:id="501360716">
          <w:marLeft w:val="706"/>
          <w:marRight w:val="0"/>
          <w:marTop w:val="96"/>
          <w:marBottom w:val="0"/>
          <w:divBdr>
            <w:top w:val="none" w:sz="0" w:space="0" w:color="auto"/>
            <w:left w:val="none" w:sz="0" w:space="0" w:color="auto"/>
            <w:bottom w:val="none" w:sz="0" w:space="0" w:color="auto"/>
            <w:right w:val="none" w:sz="0" w:space="0" w:color="auto"/>
          </w:divBdr>
        </w:div>
        <w:div w:id="501360745">
          <w:marLeft w:val="1411"/>
          <w:marRight w:val="0"/>
          <w:marTop w:val="86"/>
          <w:marBottom w:val="0"/>
          <w:divBdr>
            <w:top w:val="none" w:sz="0" w:space="0" w:color="auto"/>
            <w:left w:val="none" w:sz="0" w:space="0" w:color="auto"/>
            <w:bottom w:val="none" w:sz="0" w:space="0" w:color="auto"/>
            <w:right w:val="none" w:sz="0" w:space="0" w:color="auto"/>
          </w:divBdr>
        </w:div>
      </w:divsChild>
    </w:div>
    <w:div w:id="501360773">
      <w:marLeft w:val="0"/>
      <w:marRight w:val="0"/>
      <w:marTop w:val="0"/>
      <w:marBottom w:val="0"/>
      <w:divBdr>
        <w:top w:val="none" w:sz="0" w:space="0" w:color="auto"/>
        <w:left w:val="none" w:sz="0" w:space="0" w:color="auto"/>
        <w:bottom w:val="none" w:sz="0" w:space="0" w:color="auto"/>
        <w:right w:val="none" w:sz="0" w:space="0" w:color="auto"/>
      </w:divBdr>
      <w:divsChild>
        <w:div w:id="501360707">
          <w:marLeft w:val="0"/>
          <w:marRight w:val="0"/>
          <w:marTop w:val="115"/>
          <w:marBottom w:val="0"/>
          <w:divBdr>
            <w:top w:val="none" w:sz="0" w:space="0" w:color="auto"/>
            <w:left w:val="none" w:sz="0" w:space="0" w:color="auto"/>
            <w:bottom w:val="none" w:sz="0" w:space="0" w:color="auto"/>
            <w:right w:val="none" w:sz="0" w:space="0" w:color="auto"/>
          </w:divBdr>
        </w:div>
        <w:div w:id="501360784">
          <w:marLeft w:val="0"/>
          <w:marRight w:val="0"/>
          <w:marTop w:val="115"/>
          <w:marBottom w:val="0"/>
          <w:divBdr>
            <w:top w:val="none" w:sz="0" w:space="0" w:color="auto"/>
            <w:left w:val="none" w:sz="0" w:space="0" w:color="auto"/>
            <w:bottom w:val="none" w:sz="0" w:space="0" w:color="auto"/>
            <w:right w:val="none" w:sz="0" w:space="0" w:color="auto"/>
          </w:divBdr>
        </w:div>
        <w:div w:id="501360806">
          <w:marLeft w:val="0"/>
          <w:marRight w:val="0"/>
          <w:marTop w:val="115"/>
          <w:marBottom w:val="0"/>
          <w:divBdr>
            <w:top w:val="none" w:sz="0" w:space="0" w:color="auto"/>
            <w:left w:val="none" w:sz="0" w:space="0" w:color="auto"/>
            <w:bottom w:val="none" w:sz="0" w:space="0" w:color="auto"/>
            <w:right w:val="none" w:sz="0" w:space="0" w:color="auto"/>
          </w:divBdr>
        </w:div>
      </w:divsChild>
    </w:div>
    <w:div w:id="501360775">
      <w:marLeft w:val="0"/>
      <w:marRight w:val="0"/>
      <w:marTop w:val="0"/>
      <w:marBottom w:val="0"/>
      <w:divBdr>
        <w:top w:val="none" w:sz="0" w:space="0" w:color="auto"/>
        <w:left w:val="none" w:sz="0" w:space="0" w:color="auto"/>
        <w:bottom w:val="none" w:sz="0" w:space="0" w:color="auto"/>
        <w:right w:val="none" w:sz="0" w:space="0" w:color="auto"/>
      </w:divBdr>
      <w:divsChild>
        <w:div w:id="501360816">
          <w:marLeft w:val="0"/>
          <w:marRight w:val="0"/>
          <w:marTop w:val="115"/>
          <w:marBottom w:val="0"/>
          <w:divBdr>
            <w:top w:val="none" w:sz="0" w:space="0" w:color="auto"/>
            <w:left w:val="none" w:sz="0" w:space="0" w:color="auto"/>
            <w:bottom w:val="none" w:sz="0" w:space="0" w:color="auto"/>
            <w:right w:val="none" w:sz="0" w:space="0" w:color="auto"/>
          </w:divBdr>
        </w:div>
      </w:divsChild>
    </w:div>
    <w:div w:id="501360779">
      <w:marLeft w:val="0"/>
      <w:marRight w:val="0"/>
      <w:marTop w:val="0"/>
      <w:marBottom w:val="0"/>
      <w:divBdr>
        <w:top w:val="none" w:sz="0" w:space="0" w:color="auto"/>
        <w:left w:val="none" w:sz="0" w:space="0" w:color="auto"/>
        <w:bottom w:val="none" w:sz="0" w:space="0" w:color="auto"/>
        <w:right w:val="none" w:sz="0" w:space="0" w:color="auto"/>
      </w:divBdr>
      <w:divsChild>
        <w:div w:id="501360628">
          <w:marLeft w:val="446"/>
          <w:marRight w:val="0"/>
          <w:marTop w:val="0"/>
          <w:marBottom w:val="0"/>
          <w:divBdr>
            <w:top w:val="none" w:sz="0" w:space="0" w:color="auto"/>
            <w:left w:val="none" w:sz="0" w:space="0" w:color="auto"/>
            <w:bottom w:val="none" w:sz="0" w:space="0" w:color="auto"/>
            <w:right w:val="none" w:sz="0" w:space="0" w:color="auto"/>
          </w:divBdr>
        </w:div>
        <w:div w:id="501360651">
          <w:marLeft w:val="446"/>
          <w:marRight w:val="0"/>
          <w:marTop w:val="0"/>
          <w:marBottom w:val="0"/>
          <w:divBdr>
            <w:top w:val="none" w:sz="0" w:space="0" w:color="auto"/>
            <w:left w:val="none" w:sz="0" w:space="0" w:color="auto"/>
            <w:bottom w:val="none" w:sz="0" w:space="0" w:color="auto"/>
            <w:right w:val="none" w:sz="0" w:space="0" w:color="auto"/>
          </w:divBdr>
        </w:div>
        <w:div w:id="501360729">
          <w:marLeft w:val="446"/>
          <w:marRight w:val="0"/>
          <w:marTop w:val="0"/>
          <w:marBottom w:val="0"/>
          <w:divBdr>
            <w:top w:val="none" w:sz="0" w:space="0" w:color="auto"/>
            <w:left w:val="none" w:sz="0" w:space="0" w:color="auto"/>
            <w:bottom w:val="none" w:sz="0" w:space="0" w:color="auto"/>
            <w:right w:val="none" w:sz="0" w:space="0" w:color="auto"/>
          </w:divBdr>
        </w:div>
        <w:div w:id="501360748">
          <w:marLeft w:val="446"/>
          <w:marRight w:val="0"/>
          <w:marTop w:val="0"/>
          <w:marBottom w:val="0"/>
          <w:divBdr>
            <w:top w:val="none" w:sz="0" w:space="0" w:color="auto"/>
            <w:left w:val="none" w:sz="0" w:space="0" w:color="auto"/>
            <w:bottom w:val="none" w:sz="0" w:space="0" w:color="auto"/>
            <w:right w:val="none" w:sz="0" w:space="0" w:color="auto"/>
          </w:divBdr>
        </w:div>
        <w:div w:id="501360815">
          <w:marLeft w:val="446"/>
          <w:marRight w:val="0"/>
          <w:marTop w:val="0"/>
          <w:marBottom w:val="0"/>
          <w:divBdr>
            <w:top w:val="none" w:sz="0" w:space="0" w:color="auto"/>
            <w:left w:val="none" w:sz="0" w:space="0" w:color="auto"/>
            <w:bottom w:val="none" w:sz="0" w:space="0" w:color="auto"/>
            <w:right w:val="none" w:sz="0" w:space="0" w:color="auto"/>
          </w:divBdr>
        </w:div>
        <w:div w:id="501360832">
          <w:marLeft w:val="446"/>
          <w:marRight w:val="0"/>
          <w:marTop w:val="0"/>
          <w:marBottom w:val="0"/>
          <w:divBdr>
            <w:top w:val="none" w:sz="0" w:space="0" w:color="auto"/>
            <w:left w:val="none" w:sz="0" w:space="0" w:color="auto"/>
            <w:bottom w:val="none" w:sz="0" w:space="0" w:color="auto"/>
            <w:right w:val="none" w:sz="0" w:space="0" w:color="auto"/>
          </w:divBdr>
        </w:div>
      </w:divsChild>
    </w:div>
    <w:div w:id="501360781">
      <w:marLeft w:val="0"/>
      <w:marRight w:val="0"/>
      <w:marTop w:val="0"/>
      <w:marBottom w:val="0"/>
      <w:divBdr>
        <w:top w:val="none" w:sz="0" w:space="0" w:color="auto"/>
        <w:left w:val="none" w:sz="0" w:space="0" w:color="auto"/>
        <w:bottom w:val="none" w:sz="0" w:space="0" w:color="auto"/>
        <w:right w:val="none" w:sz="0" w:space="0" w:color="auto"/>
      </w:divBdr>
    </w:div>
    <w:div w:id="501360785">
      <w:marLeft w:val="0"/>
      <w:marRight w:val="0"/>
      <w:marTop w:val="0"/>
      <w:marBottom w:val="0"/>
      <w:divBdr>
        <w:top w:val="none" w:sz="0" w:space="0" w:color="auto"/>
        <w:left w:val="none" w:sz="0" w:space="0" w:color="auto"/>
        <w:bottom w:val="none" w:sz="0" w:space="0" w:color="auto"/>
        <w:right w:val="none" w:sz="0" w:space="0" w:color="auto"/>
      </w:divBdr>
      <w:divsChild>
        <w:div w:id="501360730">
          <w:marLeft w:val="0"/>
          <w:marRight w:val="0"/>
          <w:marTop w:val="0"/>
          <w:marBottom w:val="0"/>
          <w:divBdr>
            <w:top w:val="none" w:sz="0" w:space="0" w:color="auto"/>
            <w:left w:val="none" w:sz="0" w:space="0" w:color="auto"/>
            <w:bottom w:val="none" w:sz="0" w:space="0" w:color="auto"/>
            <w:right w:val="none" w:sz="0" w:space="0" w:color="auto"/>
          </w:divBdr>
        </w:div>
        <w:div w:id="501360749">
          <w:marLeft w:val="0"/>
          <w:marRight w:val="0"/>
          <w:marTop w:val="0"/>
          <w:marBottom w:val="0"/>
          <w:divBdr>
            <w:top w:val="none" w:sz="0" w:space="0" w:color="auto"/>
            <w:left w:val="none" w:sz="0" w:space="0" w:color="auto"/>
            <w:bottom w:val="none" w:sz="0" w:space="0" w:color="auto"/>
            <w:right w:val="none" w:sz="0" w:space="0" w:color="auto"/>
          </w:divBdr>
        </w:div>
        <w:div w:id="501360751">
          <w:marLeft w:val="0"/>
          <w:marRight w:val="0"/>
          <w:marTop w:val="0"/>
          <w:marBottom w:val="0"/>
          <w:divBdr>
            <w:top w:val="none" w:sz="0" w:space="0" w:color="auto"/>
            <w:left w:val="none" w:sz="0" w:space="0" w:color="auto"/>
            <w:bottom w:val="none" w:sz="0" w:space="0" w:color="auto"/>
            <w:right w:val="none" w:sz="0" w:space="0" w:color="auto"/>
          </w:divBdr>
        </w:div>
        <w:div w:id="501360778">
          <w:marLeft w:val="0"/>
          <w:marRight w:val="0"/>
          <w:marTop w:val="0"/>
          <w:marBottom w:val="0"/>
          <w:divBdr>
            <w:top w:val="none" w:sz="0" w:space="0" w:color="auto"/>
            <w:left w:val="none" w:sz="0" w:space="0" w:color="auto"/>
            <w:bottom w:val="none" w:sz="0" w:space="0" w:color="auto"/>
            <w:right w:val="none" w:sz="0" w:space="0" w:color="auto"/>
          </w:divBdr>
        </w:div>
        <w:div w:id="501360792">
          <w:marLeft w:val="0"/>
          <w:marRight w:val="0"/>
          <w:marTop w:val="0"/>
          <w:marBottom w:val="0"/>
          <w:divBdr>
            <w:top w:val="none" w:sz="0" w:space="0" w:color="auto"/>
            <w:left w:val="none" w:sz="0" w:space="0" w:color="auto"/>
            <w:bottom w:val="none" w:sz="0" w:space="0" w:color="auto"/>
            <w:right w:val="none" w:sz="0" w:space="0" w:color="auto"/>
          </w:divBdr>
        </w:div>
        <w:div w:id="501360826">
          <w:marLeft w:val="0"/>
          <w:marRight w:val="0"/>
          <w:marTop w:val="0"/>
          <w:marBottom w:val="0"/>
          <w:divBdr>
            <w:top w:val="none" w:sz="0" w:space="0" w:color="auto"/>
            <w:left w:val="none" w:sz="0" w:space="0" w:color="auto"/>
            <w:bottom w:val="none" w:sz="0" w:space="0" w:color="auto"/>
            <w:right w:val="none" w:sz="0" w:space="0" w:color="auto"/>
          </w:divBdr>
        </w:div>
      </w:divsChild>
    </w:div>
    <w:div w:id="501360787">
      <w:marLeft w:val="0"/>
      <w:marRight w:val="0"/>
      <w:marTop w:val="0"/>
      <w:marBottom w:val="0"/>
      <w:divBdr>
        <w:top w:val="none" w:sz="0" w:space="0" w:color="auto"/>
        <w:left w:val="none" w:sz="0" w:space="0" w:color="auto"/>
        <w:bottom w:val="none" w:sz="0" w:space="0" w:color="auto"/>
        <w:right w:val="none" w:sz="0" w:space="0" w:color="auto"/>
      </w:divBdr>
    </w:div>
    <w:div w:id="501360788">
      <w:marLeft w:val="0"/>
      <w:marRight w:val="0"/>
      <w:marTop w:val="0"/>
      <w:marBottom w:val="0"/>
      <w:divBdr>
        <w:top w:val="none" w:sz="0" w:space="0" w:color="auto"/>
        <w:left w:val="none" w:sz="0" w:space="0" w:color="auto"/>
        <w:bottom w:val="none" w:sz="0" w:space="0" w:color="auto"/>
        <w:right w:val="none" w:sz="0" w:space="0" w:color="auto"/>
      </w:divBdr>
    </w:div>
    <w:div w:id="501360793">
      <w:marLeft w:val="0"/>
      <w:marRight w:val="0"/>
      <w:marTop w:val="0"/>
      <w:marBottom w:val="0"/>
      <w:divBdr>
        <w:top w:val="none" w:sz="0" w:space="0" w:color="auto"/>
        <w:left w:val="none" w:sz="0" w:space="0" w:color="auto"/>
        <w:bottom w:val="none" w:sz="0" w:space="0" w:color="auto"/>
        <w:right w:val="none" w:sz="0" w:space="0" w:color="auto"/>
      </w:divBdr>
      <w:divsChild>
        <w:div w:id="501360813">
          <w:marLeft w:val="0"/>
          <w:marRight w:val="0"/>
          <w:marTop w:val="0"/>
          <w:marBottom w:val="200"/>
          <w:divBdr>
            <w:top w:val="none" w:sz="0" w:space="0" w:color="auto"/>
            <w:left w:val="none" w:sz="0" w:space="0" w:color="auto"/>
            <w:bottom w:val="none" w:sz="0" w:space="0" w:color="auto"/>
            <w:right w:val="none" w:sz="0" w:space="0" w:color="auto"/>
          </w:divBdr>
        </w:div>
      </w:divsChild>
    </w:div>
    <w:div w:id="501360795">
      <w:marLeft w:val="0"/>
      <w:marRight w:val="0"/>
      <w:marTop w:val="0"/>
      <w:marBottom w:val="0"/>
      <w:divBdr>
        <w:top w:val="none" w:sz="0" w:space="0" w:color="auto"/>
        <w:left w:val="none" w:sz="0" w:space="0" w:color="auto"/>
        <w:bottom w:val="none" w:sz="0" w:space="0" w:color="auto"/>
        <w:right w:val="none" w:sz="0" w:space="0" w:color="auto"/>
      </w:divBdr>
    </w:div>
    <w:div w:id="501360796">
      <w:marLeft w:val="0"/>
      <w:marRight w:val="0"/>
      <w:marTop w:val="0"/>
      <w:marBottom w:val="0"/>
      <w:divBdr>
        <w:top w:val="none" w:sz="0" w:space="0" w:color="auto"/>
        <w:left w:val="none" w:sz="0" w:space="0" w:color="auto"/>
        <w:bottom w:val="none" w:sz="0" w:space="0" w:color="auto"/>
        <w:right w:val="none" w:sz="0" w:space="0" w:color="auto"/>
      </w:divBdr>
    </w:div>
    <w:div w:id="501360797">
      <w:marLeft w:val="0"/>
      <w:marRight w:val="0"/>
      <w:marTop w:val="0"/>
      <w:marBottom w:val="0"/>
      <w:divBdr>
        <w:top w:val="none" w:sz="0" w:space="0" w:color="auto"/>
        <w:left w:val="none" w:sz="0" w:space="0" w:color="auto"/>
        <w:bottom w:val="none" w:sz="0" w:space="0" w:color="auto"/>
        <w:right w:val="none" w:sz="0" w:space="0" w:color="auto"/>
      </w:divBdr>
    </w:div>
    <w:div w:id="501360798">
      <w:marLeft w:val="0"/>
      <w:marRight w:val="0"/>
      <w:marTop w:val="0"/>
      <w:marBottom w:val="0"/>
      <w:divBdr>
        <w:top w:val="none" w:sz="0" w:space="0" w:color="auto"/>
        <w:left w:val="none" w:sz="0" w:space="0" w:color="auto"/>
        <w:bottom w:val="none" w:sz="0" w:space="0" w:color="auto"/>
        <w:right w:val="none" w:sz="0" w:space="0" w:color="auto"/>
      </w:divBdr>
      <w:divsChild>
        <w:div w:id="501360627">
          <w:marLeft w:val="0"/>
          <w:marRight w:val="0"/>
          <w:marTop w:val="0"/>
          <w:marBottom w:val="0"/>
          <w:divBdr>
            <w:top w:val="none" w:sz="0" w:space="0" w:color="auto"/>
            <w:left w:val="none" w:sz="0" w:space="0" w:color="auto"/>
            <w:bottom w:val="none" w:sz="0" w:space="0" w:color="auto"/>
            <w:right w:val="none" w:sz="0" w:space="0" w:color="auto"/>
          </w:divBdr>
        </w:div>
        <w:div w:id="501360652">
          <w:marLeft w:val="0"/>
          <w:marRight w:val="0"/>
          <w:marTop w:val="0"/>
          <w:marBottom w:val="0"/>
          <w:divBdr>
            <w:top w:val="none" w:sz="0" w:space="0" w:color="auto"/>
            <w:left w:val="none" w:sz="0" w:space="0" w:color="auto"/>
            <w:bottom w:val="none" w:sz="0" w:space="0" w:color="auto"/>
            <w:right w:val="none" w:sz="0" w:space="0" w:color="auto"/>
          </w:divBdr>
        </w:div>
        <w:div w:id="501360683">
          <w:marLeft w:val="0"/>
          <w:marRight w:val="0"/>
          <w:marTop w:val="0"/>
          <w:marBottom w:val="0"/>
          <w:divBdr>
            <w:top w:val="none" w:sz="0" w:space="0" w:color="auto"/>
            <w:left w:val="none" w:sz="0" w:space="0" w:color="auto"/>
            <w:bottom w:val="none" w:sz="0" w:space="0" w:color="auto"/>
            <w:right w:val="none" w:sz="0" w:space="0" w:color="auto"/>
          </w:divBdr>
        </w:div>
        <w:div w:id="501360699">
          <w:marLeft w:val="0"/>
          <w:marRight w:val="0"/>
          <w:marTop w:val="0"/>
          <w:marBottom w:val="0"/>
          <w:divBdr>
            <w:top w:val="none" w:sz="0" w:space="0" w:color="auto"/>
            <w:left w:val="none" w:sz="0" w:space="0" w:color="auto"/>
            <w:bottom w:val="none" w:sz="0" w:space="0" w:color="auto"/>
            <w:right w:val="none" w:sz="0" w:space="0" w:color="auto"/>
          </w:divBdr>
        </w:div>
        <w:div w:id="501360720">
          <w:marLeft w:val="0"/>
          <w:marRight w:val="0"/>
          <w:marTop w:val="0"/>
          <w:marBottom w:val="0"/>
          <w:divBdr>
            <w:top w:val="none" w:sz="0" w:space="0" w:color="auto"/>
            <w:left w:val="none" w:sz="0" w:space="0" w:color="auto"/>
            <w:bottom w:val="none" w:sz="0" w:space="0" w:color="auto"/>
            <w:right w:val="none" w:sz="0" w:space="0" w:color="auto"/>
          </w:divBdr>
        </w:div>
        <w:div w:id="501360723">
          <w:marLeft w:val="0"/>
          <w:marRight w:val="0"/>
          <w:marTop w:val="0"/>
          <w:marBottom w:val="0"/>
          <w:divBdr>
            <w:top w:val="none" w:sz="0" w:space="0" w:color="auto"/>
            <w:left w:val="none" w:sz="0" w:space="0" w:color="auto"/>
            <w:bottom w:val="none" w:sz="0" w:space="0" w:color="auto"/>
            <w:right w:val="none" w:sz="0" w:space="0" w:color="auto"/>
          </w:divBdr>
        </w:div>
        <w:div w:id="501360733">
          <w:marLeft w:val="0"/>
          <w:marRight w:val="0"/>
          <w:marTop w:val="0"/>
          <w:marBottom w:val="0"/>
          <w:divBdr>
            <w:top w:val="none" w:sz="0" w:space="0" w:color="auto"/>
            <w:left w:val="none" w:sz="0" w:space="0" w:color="auto"/>
            <w:bottom w:val="none" w:sz="0" w:space="0" w:color="auto"/>
            <w:right w:val="none" w:sz="0" w:space="0" w:color="auto"/>
          </w:divBdr>
        </w:div>
        <w:div w:id="501360737">
          <w:marLeft w:val="0"/>
          <w:marRight w:val="0"/>
          <w:marTop w:val="0"/>
          <w:marBottom w:val="0"/>
          <w:divBdr>
            <w:top w:val="none" w:sz="0" w:space="0" w:color="auto"/>
            <w:left w:val="none" w:sz="0" w:space="0" w:color="auto"/>
            <w:bottom w:val="none" w:sz="0" w:space="0" w:color="auto"/>
            <w:right w:val="none" w:sz="0" w:space="0" w:color="auto"/>
          </w:divBdr>
        </w:div>
      </w:divsChild>
    </w:div>
    <w:div w:id="501360802">
      <w:marLeft w:val="0"/>
      <w:marRight w:val="0"/>
      <w:marTop w:val="0"/>
      <w:marBottom w:val="0"/>
      <w:divBdr>
        <w:top w:val="none" w:sz="0" w:space="0" w:color="auto"/>
        <w:left w:val="none" w:sz="0" w:space="0" w:color="auto"/>
        <w:bottom w:val="none" w:sz="0" w:space="0" w:color="auto"/>
        <w:right w:val="none" w:sz="0" w:space="0" w:color="auto"/>
      </w:divBdr>
    </w:div>
    <w:div w:id="501360809">
      <w:marLeft w:val="0"/>
      <w:marRight w:val="0"/>
      <w:marTop w:val="0"/>
      <w:marBottom w:val="0"/>
      <w:divBdr>
        <w:top w:val="none" w:sz="0" w:space="0" w:color="auto"/>
        <w:left w:val="none" w:sz="0" w:space="0" w:color="auto"/>
        <w:bottom w:val="none" w:sz="0" w:space="0" w:color="auto"/>
        <w:right w:val="none" w:sz="0" w:space="0" w:color="auto"/>
      </w:divBdr>
    </w:div>
    <w:div w:id="501360810">
      <w:marLeft w:val="0"/>
      <w:marRight w:val="0"/>
      <w:marTop w:val="0"/>
      <w:marBottom w:val="0"/>
      <w:divBdr>
        <w:top w:val="none" w:sz="0" w:space="0" w:color="auto"/>
        <w:left w:val="none" w:sz="0" w:space="0" w:color="auto"/>
        <w:bottom w:val="none" w:sz="0" w:space="0" w:color="auto"/>
        <w:right w:val="none" w:sz="0" w:space="0" w:color="auto"/>
      </w:divBdr>
    </w:div>
    <w:div w:id="501360811">
      <w:marLeft w:val="0"/>
      <w:marRight w:val="0"/>
      <w:marTop w:val="0"/>
      <w:marBottom w:val="0"/>
      <w:divBdr>
        <w:top w:val="none" w:sz="0" w:space="0" w:color="auto"/>
        <w:left w:val="none" w:sz="0" w:space="0" w:color="auto"/>
        <w:bottom w:val="none" w:sz="0" w:space="0" w:color="auto"/>
        <w:right w:val="none" w:sz="0" w:space="0" w:color="auto"/>
      </w:divBdr>
    </w:div>
    <w:div w:id="501360814">
      <w:marLeft w:val="0"/>
      <w:marRight w:val="0"/>
      <w:marTop w:val="0"/>
      <w:marBottom w:val="0"/>
      <w:divBdr>
        <w:top w:val="none" w:sz="0" w:space="0" w:color="auto"/>
        <w:left w:val="none" w:sz="0" w:space="0" w:color="auto"/>
        <w:bottom w:val="none" w:sz="0" w:space="0" w:color="auto"/>
        <w:right w:val="none" w:sz="0" w:space="0" w:color="auto"/>
      </w:divBdr>
    </w:div>
    <w:div w:id="501360819">
      <w:marLeft w:val="0"/>
      <w:marRight w:val="0"/>
      <w:marTop w:val="0"/>
      <w:marBottom w:val="0"/>
      <w:divBdr>
        <w:top w:val="none" w:sz="0" w:space="0" w:color="auto"/>
        <w:left w:val="none" w:sz="0" w:space="0" w:color="auto"/>
        <w:bottom w:val="none" w:sz="0" w:space="0" w:color="auto"/>
        <w:right w:val="none" w:sz="0" w:space="0" w:color="auto"/>
      </w:divBdr>
    </w:div>
    <w:div w:id="501360822">
      <w:marLeft w:val="0"/>
      <w:marRight w:val="0"/>
      <w:marTop w:val="0"/>
      <w:marBottom w:val="0"/>
      <w:divBdr>
        <w:top w:val="none" w:sz="0" w:space="0" w:color="auto"/>
        <w:left w:val="none" w:sz="0" w:space="0" w:color="auto"/>
        <w:bottom w:val="none" w:sz="0" w:space="0" w:color="auto"/>
        <w:right w:val="none" w:sz="0" w:space="0" w:color="auto"/>
      </w:divBdr>
    </w:div>
    <w:div w:id="501360823">
      <w:marLeft w:val="0"/>
      <w:marRight w:val="0"/>
      <w:marTop w:val="0"/>
      <w:marBottom w:val="0"/>
      <w:divBdr>
        <w:top w:val="none" w:sz="0" w:space="0" w:color="auto"/>
        <w:left w:val="none" w:sz="0" w:space="0" w:color="auto"/>
        <w:bottom w:val="none" w:sz="0" w:space="0" w:color="auto"/>
        <w:right w:val="none" w:sz="0" w:space="0" w:color="auto"/>
      </w:divBdr>
    </w:div>
    <w:div w:id="501360825">
      <w:marLeft w:val="0"/>
      <w:marRight w:val="0"/>
      <w:marTop w:val="0"/>
      <w:marBottom w:val="0"/>
      <w:divBdr>
        <w:top w:val="none" w:sz="0" w:space="0" w:color="auto"/>
        <w:left w:val="none" w:sz="0" w:space="0" w:color="auto"/>
        <w:bottom w:val="none" w:sz="0" w:space="0" w:color="auto"/>
        <w:right w:val="none" w:sz="0" w:space="0" w:color="auto"/>
      </w:divBdr>
    </w:div>
    <w:div w:id="501360827">
      <w:marLeft w:val="0"/>
      <w:marRight w:val="0"/>
      <w:marTop w:val="0"/>
      <w:marBottom w:val="0"/>
      <w:divBdr>
        <w:top w:val="none" w:sz="0" w:space="0" w:color="auto"/>
        <w:left w:val="none" w:sz="0" w:space="0" w:color="auto"/>
        <w:bottom w:val="none" w:sz="0" w:space="0" w:color="auto"/>
        <w:right w:val="none" w:sz="0" w:space="0" w:color="auto"/>
      </w:divBdr>
      <w:divsChild>
        <w:div w:id="501360693">
          <w:marLeft w:val="0"/>
          <w:marRight w:val="0"/>
          <w:marTop w:val="0"/>
          <w:marBottom w:val="0"/>
          <w:divBdr>
            <w:top w:val="none" w:sz="0" w:space="0" w:color="auto"/>
            <w:left w:val="none" w:sz="0" w:space="0" w:color="auto"/>
            <w:bottom w:val="none" w:sz="0" w:space="0" w:color="auto"/>
            <w:right w:val="none" w:sz="0" w:space="0" w:color="auto"/>
          </w:divBdr>
        </w:div>
        <w:div w:id="501360736">
          <w:marLeft w:val="0"/>
          <w:marRight w:val="0"/>
          <w:marTop w:val="0"/>
          <w:marBottom w:val="0"/>
          <w:divBdr>
            <w:top w:val="none" w:sz="0" w:space="0" w:color="auto"/>
            <w:left w:val="none" w:sz="0" w:space="0" w:color="auto"/>
            <w:bottom w:val="none" w:sz="0" w:space="0" w:color="auto"/>
            <w:right w:val="none" w:sz="0" w:space="0" w:color="auto"/>
          </w:divBdr>
        </w:div>
        <w:div w:id="501360753">
          <w:marLeft w:val="0"/>
          <w:marRight w:val="0"/>
          <w:marTop w:val="0"/>
          <w:marBottom w:val="0"/>
          <w:divBdr>
            <w:top w:val="none" w:sz="0" w:space="0" w:color="auto"/>
            <w:left w:val="none" w:sz="0" w:space="0" w:color="auto"/>
            <w:bottom w:val="none" w:sz="0" w:space="0" w:color="auto"/>
            <w:right w:val="none" w:sz="0" w:space="0" w:color="auto"/>
          </w:divBdr>
        </w:div>
        <w:div w:id="501360767">
          <w:marLeft w:val="0"/>
          <w:marRight w:val="0"/>
          <w:marTop w:val="0"/>
          <w:marBottom w:val="0"/>
          <w:divBdr>
            <w:top w:val="none" w:sz="0" w:space="0" w:color="auto"/>
            <w:left w:val="none" w:sz="0" w:space="0" w:color="auto"/>
            <w:bottom w:val="none" w:sz="0" w:space="0" w:color="auto"/>
            <w:right w:val="none" w:sz="0" w:space="0" w:color="auto"/>
          </w:divBdr>
        </w:div>
      </w:divsChild>
    </w:div>
    <w:div w:id="501360830">
      <w:marLeft w:val="0"/>
      <w:marRight w:val="0"/>
      <w:marTop w:val="0"/>
      <w:marBottom w:val="0"/>
      <w:divBdr>
        <w:top w:val="none" w:sz="0" w:space="0" w:color="auto"/>
        <w:left w:val="none" w:sz="0" w:space="0" w:color="auto"/>
        <w:bottom w:val="none" w:sz="0" w:space="0" w:color="auto"/>
        <w:right w:val="none" w:sz="0" w:space="0" w:color="auto"/>
      </w:divBdr>
      <w:divsChild>
        <w:div w:id="501360620">
          <w:marLeft w:val="1800"/>
          <w:marRight w:val="0"/>
          <w:marTop w:val="168"/>
          <w:marBottom w:val="0"/>
          <w:divBdr>
            <w:top w:val="none" w:sz="0" w:space="0" w:color="auto"/>
            <w:left w:val="none" w:sz="0" w:space="0" w:color="auto"/>
            <w:bottom w:val="none" w:sz="0" w:space="0" w:color="auto"/>
            <w:right w:val="none" w:sz="0" w:space="0" w:color="auto"/>
          </w:divBdr>
        </w:div>
        <w:div w:id="501360692">
          <w:marLeft w:val="1800"/>
          <w:marRight w:val="0"/>
          <w:marTop w:val="168"/>
          <w:marBottom w:val="0"/>
          <w:divBdr>
            <w:top w:val="none" w:sz="0" w:space="0" w:color="auto"/>
            <w:left w:val="none" w:sz="0" w:space="0" w:color="auto"/>
            <w:bottom w:val="none" w:sz="0" w:space="0" w:color="auto"/>
            <w:right w:val="none" w:sz="0" w:space="0" w:color="auto"/>
          </w:divBdr>
        </w:div>
        <w:div w:id="501360820">
          <w:marLeft w:val="1800"/>
          <w:marRight w:val="0"/>
          <w:marTop w:val="168"/>
          <w:marBottom w:val="0"/>
          <w:divBdr>
            <w:top w:val="none" w:sz="0" w:space="0" w:color="auto"/>
            <w:left w:val="none" w:sz="0" w:space="0" w:color="auto"/>
            <w:bottom w:val="none" w:sz="0" w:space="0" w:color="auto"/>
            <w:right w:val="none" w:sz="0" w:space="0" w:color="auto"/>
          </w:divBdr>
        </w:div>
      </w:divsChild>
    </w:div>
    <w:div w:id="501360831">
      <w:marLeft w:val="0"/>
      <w:marRight w:val="0"/>
      <w:marTop w:val="0"/>
      <w:marBottom w:val="0"/>
      <w:divBdr>
        <w:top w:val="none" w:sz="0" w:space="0" w:color="auto"/>
        <w:left w:val="none" w:sz="0" w:space="0" w:color="auto"/>
        <w:bottom w:val="none" w:sz="0" w:space="0" w:color="auto"/>
        <w:right w:val="none" w:sz="0" w:space="0" w:color="auto"/>
      </w:divBdr>
      <w:divsChild>
        <w:div w:id="501360642">
          <w:marLeft w:val="547"/>
          <w:marRight w:val="0"/>
          <w:marTop w:val="154"/>
          <w:marBottom w:val="0"/>
          <w:divBdr>
            <w:top w:val="none" w:sz="0" w:space="0" w:color="auto"/>
            <w:left w:val="none" w:sz="0" w:space="0" w:color="auto"/>
            <w:bottom w:val="none" w:sz="0" w:space="0" w:color="auto"/>
            <w:right w:val="none" w:sz="0" w:space="0" w:color="auto"/>
          </w:divBdr>
        </w:div>
        <w:div w:id="501360708">
          <w:marLeft w:val="547"/>
          <w:marRight w:val="0"/>
          <w:marTop w:val="154"/>
          <w:marBottom w:val="0"/>
          <w:divBdr>
            <w:top w:val="none" w:sz="0" w:space="0" w:color="auto"/>
            <w:left w:val="none" w:sz="0" w:space="0" w:color="auto"/>
            <w:bottom w:val="none" w:sz="0" w:space="0" w:color="auto"/>
            <w:right w:val="none" w:sz="0" w:space="0" w:color="auto"/>
          </w:divBdr>
        </w:div>
      </w:divsChild>
    </w:div>
    <w:div w:id="501360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biblioteca.afip.gob.ar/dcp/ley_c_022675_1982_11_12" TargetMode="External"/><Relationship Id="rId13" Type="http://schemas.openxmlformats.org/officeDocument/2006/relationships/hyperlink" Target="https://ideastributarias.wordpress.com/2014/11/18/venta-de-titulos-valores-impuesto-a-las-ganancias-situacion-de-los-adr-y-cedear/" TargetMode="External"/><Relationship Id="rId18" Type="http://schemas.openxmlformats.org/officeDocument/2006/relationships/hyperlink" Target="http://www.oecd.org/tax/automatic-exchange/international-framework-for-the-crs/exchange-relationships/" TargetMode="External"/><Relationship Id="rId26" Type="http://schemas.openxmlformats.org/officeDocument/2006/relationships/hyperlink" Target="https://www.oecd.org/tax/transparency/" TargetMode="External"/><Relationship Id="rId3" Type="http://schemas.openxmlformats.org/officeDocument/2006/relationships/hyperlink" Target="http://biblioteca.afip.gob.ar/estaticos/enlaces/CONSEJO_AFIP_05_09_11.pdf" TargetMode="External"/><Relationship Id="rId21" Type="http://schemas.openxmlformats.org/officeDocument/2006/relationships/hyperlink" Target="http://www.lanacion.com.ar/1992570-eeuu-confirma-el-intercambio-de-informacion" TargetMode="External"/><Relationship Id="rId7" Type="http://schemas.openxmlformats.org/officeDocument/2006/relationships/hyperlink" Target="http://www.consejo.org.ar/noticias16/files/Enlace_AFIP-Consejo_22-06-2016.pdf" TargetMode="External"/><Relationship Id="rId12" Type="http://schemas.openxmlformats.org/officeDocument/2006/relationships/hyperlink" Target="http://www.soler.com.ar/2014/Reglam_Reform_Gan.pdf" TargetMode="External"/><Relationship Id="rId17" Type="http://schemas.openxmlformats.org/officeDocument/2006/relationships/hyperlink" Target="http://www.afip.gov.ar/genericos/guiavirtual/consultas_detalle.aspx?id=21528048" TargetMode="External"/><Relationship Id="rId25" Type="http://schemas.openxmlformats.org/officeDocument/2006/relationships/hyperlink" Target="http://www.sii.cl/normativa_legislacion/circulares/2016/circu34.pdf" TargetMode="External"/><Relationship Id="rId2" Type="http://schemas.openxmlformats.org/officeDocument/2006/relationships/hyperlink" Target="http://www.consejo.org.ar/impuestos/genlace/genlace09/enlace_2705.htm" TargetMode="External"/><Relationship Id="rId16" Type="http://schemas.openxmlformats.org/officeDocument/2006/relationships/hyperlink" Target="http://www4.hcdn.gob.ar/dependencias/dsecretaria/Periodo2016/PDF2016/TP2016/0035-PE-2016.pdf" TargetMode="External"/><Relationship Id="rId20" Type="http://schemas.openxmlformats.org/officeDocument/2006/relationships/hyperlink" Target="http://www.afip.gob.ar/institucional/Documentos/acuerdos/Acuerdo%20con%20Estados%20Unidos.pdf" TargetMode="External"/><Relationship Id="rId29" Type="http://schemas.openxmlformats.org/officeDocument/2006/relationships/hyperlink" Target="http://www.sunat.gob.pe/legislacion/renta/regla/anexo.htm" TargetMode="External"/><Relationship Id="rId1" Type="http://schemas.openxmlformats.org/officeDocument/2006/relationships/hyperlink" Target="http://biblioteca.afip.gob.ar/estaticos/enlaces/CONSEJO_AFIP_14_04_10.pdf" TargetMode="External"/><Relationship Id="rId6" Type="http://schemas.openxmlformats.org/officeDocument/2006/relationships/hyperlink" Target="http://www.consejo.org.ar/noticias17/files/actualidad_120617.pdf" TargetMode="External"/><Relationship Id="rId11" Type="http://schemas.openxmlformats.org/officeDocument/2006/relationships/hyperlink" Target="http://www.consejo.org.ar/noticias16/files/Enlace_AFIP-Consejo_22-06-2016.pdf" TargetMode="External"/><Relationship Id="rId24" Type="http://schemas.openxmlformats.org/officeDocument/2006/relationships/hyperlink" Target="https://www.leychile.cl/Navegar?idNorma=6368" TargetMode="External"/><Relationship Id="rId32" Type="http://schemas.openxmlformats.org/officeDocument/2006/relationships/hyperlink" Target="https://sj.csjn.gov.ar/sj/tomosFallos.do?method=siguiente" TargetMode="External"/><Relationship Id="rId5" Type="http://schemas.openxmlformats.org/officeDocument/2006/relationships/hyperlink" Target="http://www.afip.gob.ar/EspaciosdeDialogoInstitucional/documentos/Acta14EspaciodeDialogoAFIP-CPCECABA%2027-04-2017.pdf" TargetMode="External"/><Relationship Id="rId15" Type="http://schemas.openxmlformats.org/officeDocument/2006/relationships/hyperlink" Target="http://www.consejo.org.ar/noticias17/files/actualidad_120617.pdf" TargetMode="External"/><Relationship Id="rId23" Type="http://schemas.openxmlformats.org/officeDocument/2006/relationships/hyperlink" Target="https://www.irs.gov/pub/irs-pdf/iw8ben.pdf" TargetMode="External"/><Relationship Id="rId28" Type="http://schemas.openxmlformats.org/officeDocument/2006/relationships/hyperlink" Target="http://www.sunat.gob.pe/legislacion/renta/regla/cap16.htm" TargetMode="External"/><Relationship Id="rId10" Type="http://schemas.openxmlformats.org/officeDocument/2006/relationships/hyperlink" Target="http://www.consejo.org.ar/noticias17/files/acta_180717.pdf" TargetMode="External"/><Relationship Id="rId19" Type="http://schemas.openxmlformats.org/officeDocument/2006/relationships/hyperlink" Target="http://www.oecd.org/tax/automatic-exchange/international-framework-for-the-crs/exchange-relationships/Questions-and-answers-international-exchange-relationships-crs-information.pdf" TargetMode="External"/><Relationship Id="rId31" Type="http://schemas.openxmlformats.org/officeDocument/2006/relationships/hyperlink" Target="http://biblioint.afip.gob.ar/dcp/REAG01000702_1999_10_12" TargetMode="External"/><Relationship Id="rId4" Type="http://schemas.openxmlformats.org/officeDocument/2006/relationships/hyperlink" Target="http://biblioteca.afip.gob.ar/estaticos/enlaces/CONSEJO_AFIP_24_10_07.pdf" TargetMode="External"/><Relationship Id="rId9" Type="http://schemas.openxmlformats.org/officeDocument/2006/relationships/hyperlink" Target="http://www.consejo.org.ar/noticias17/files/actualidad_120617.pdf" TargetMode="External"/><Relationship Id="rId14" Type="http://schemas.openxmlformats.org/officeDocument/2006/relationships/hyperlink" Target="http://z0723.cponline.org.ar:8080/GrupoEnlaceConsulta/servletCentral?accion=MuestraPreguntas" TargetMode="External"/><Relationship Id="rId22" Type="http://schemas.openxmlformats.org/officeDocument/2006/relationships/hyperlink" Target="http://www.oecd.org/tax/transparency/brief-and-FAQ-on-progress-on-tax-transparency.pdf" TargetMode="External"/><Relationship Id="rId27" Type="http://schemas.openxmlformats.org/officeDocument/2006/relationships/hyperlink" Target="http://www.accounter.co/normatividad/leyes/reforma-tributaria-ley-1819-de-2016.html" TargetMode="External"/><Relationship Id="rId30" Type="http://schemas.openxmlformats.org/officeDocument/2006/relationships/hyperlink" Target="http://www.oecd.org/tax/oecd-secretary-general-tax-report-g20-leaders-july-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46</Pages>
  <Words>16802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CONSEJO PROFESIONAL DE CIENCIAS ECONÓMICAS DE LA CIUDAD AUTÓNOMA DE BUENOS AIRES</dc:title>
  <dc:subject/>
  <dc:creator>GRACIELA LIQUIN</dc:creator>
  <cp:keywords/>
  <dc:description/>
  <cp:lastModifiedBy>Hernán Castillejo</cp:lastModifiedBy>
  <cp:revision>3</cp:revision>
  <cp:lastPrinted>2017-08-30T17:38:00Z</cp:lastPrinted>
  <dcterms:created xsi:type="dcterms:W3CDTF">2017-09-04T21:49:00Z</dcterms:created>
  <dcterms:modified xsi:type="dcterms:W3CDTF">2017-09-05T20:05:00Z</dcterms:modified>
</cp:coreProperties>
</file>