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BA4" w:rsidRDefault="00577BA4" w:rsidP="003C2E84">
      <w:pPr>
        <w:pStyle w:val="TOC1"/>
        <w:tabs>
          <w:tab w:val="right" w:leader="dot" w:pos="8778"/>
        </w:tabs>
        <w:jc w:val="center"/>
        <w:rPr>
          <w:rStyle w:val="Strong"/>
          <w:rFonts w:cs="Tahoma"/>
          <w:i w:val="0"/>
          <w:sz w:val="32"/>
          <w:szCs w:val="32"/>
          <w:shd w:val="clear" w:color="auto" w:fill="FFFFFF"/>
        </w:rPr>
      </w:pPr>
      <w:r w:rsidRPr="00EA3BBD">
        <w:rPr>
          <w:rStyle w:val="Strong"/>
          <w:rFonts w:cs="Tahoma"/>
          <w:i w:val="0"/>
          <w:sz w:val="32"/>
          <w:szCs w:val="32"/>
          <w:shd w:val="clear" w:color="auto" w:fill="FFFFFF"/>
        </w:rPr>
        <w:t>19° Simposio sobre Legislación Tributaria</w:t>
      </w:r>
    </w:p>
    <w:p w:rsidR="00577BA4" w:rsidRPr="003C2E84" w:rsidRDefault="00577BA4" w:rsidP="003C2E84">
      <w:pPr>
        <w:rPr>
          <w:rStyle w:val="Strong"/>
          <w:rFonts w:cs="Tahoma"/>
          <w:sz w:val="32"/>
          <w:szCs w:val="32"/>
          <w:shd w:val="clear" w:color="auto" w:fill="FFFFFF"/>
          <w:lang w:val="es-ES"/>
        </w:rPr>
      </w:pPr>
      <w:r w:rsidRPr="003C2E84">
        <w:rPr>
          <w:rStyle w:val="Strong"/>
          <w:rFonts w:cs="Tahoma"/>
          <w:sz w:val="32"/>
          <w:szCs w:val="32"/>
          <w:shd w:val="clear" w:color="auto" w:fill="FFFFFF"/>
          <w:lang w:val="es-ES"/>
        </w:rPr>
        <w:t xml:space="preserve">Comisión N° </w:t>
      </w:r>
      <w:r>
        <w:rPr>
          <w:rStyle w:val="Strong"/>
          <w:rFonts w:cs="Tahoma"/>
          <w:sz w:val="32"/>
          <w:szCs w:val="32"/>
          <w:shd w:val="clear" w:color="auto" w:fill="FFFFFF"/>
          <w:lang w:val="es-ES"/>
        </w:rPr>
        <w:t>1</w:t>
      </w:r>
      <w:r w:rsidRPr="003C2E84">
        <w:rPr>
          <w:rStyle w:val="Strong"/>
          <w:rFonts w:cs="Tahoma"/>
          <w:sz w:val="32"/>
          <w:szCs w:val="32"/>
          <w:shd w:val="clear" w:color="auto" w:fill="FFFFFF"/>
          <w:lang w:val="es-ES"/>
        </w:rPr>
        <w:t>: Tratamiento de rentas y bienes del exterior</w:t>
      </w:r>
    </w:p>
    <w:p w:rsidR="00577BA4" w:rsidRDefault="00577BA4" w:rsidP="003C2E84">
      <w:pPr>
        <w:pStyle w:val="ListParagraph"/>
        <w:ind w:left="0"/>
        <w:rPr>
          <w:b/>
          <w:sz w:val="28"/>
          <w:szCs w:val="28"/>
          <w:lang w:val="es-ES_tradnl"/>
        </w:rPr>
      </w:pPr>
      <w:r>
        <w:rPr>
          <w:b/>
          <w:sz w:val="28"/>
          <w:szCs w:val="28"/>
          <w:lang w:val="es-ES_tradnl"/>
        </w:rPr>
        <w:t xml:space="preserve">Dr. C.P. </w:t>
      </w:r>
      <w:r w:rsidRPr="00B6019A">
        <w:rPr>
          <w:b/>
          <w:sz w:val="28"/>
          <w:szCs w:val="28"/>
          <w:lang w:val="es-ES_tradnl"/>
        </w:rPr>
        <w:t xml:space="preserve"> </w:t>
      </w:r>
      <w:r>
        <w:rPr>
          <w:b/>
          <w:sz w:val="28"/>
          <w:szCs w:val="28"/>
          <w:lang w:val="es-ES_tradnl"/>
        </w:rPr>
        <w:t>Ignacio Rodríguez</w:t>
      </w:r>
    </w:p>
    <w:p w:rsidR="00577BA4" w:rsidRDefault="00577BA4" w:rsidP="000F7A69">
      <w:pPr>
        <w:spacing w:after="0" w:line="240" w:lineRule="auto"/>
        <w:rPr>
          <w:rFonts w:ascii="Calisto MT" w:hAnsi="Calisto MT"/>
          <w:b/>
          <w:noProof/>
          <w:lang w:val="es-AR"/>
        </w:rPr>
      </w:pPr>
    </w:p>
    <w:p w:rsidR="00577BA4" w:rsidRPr="00F27EE3" w:rsidRDefault="00577BA4" w:rsidP="000F7A69">
      <w:pPr>
        <w:pStyle w:val="BodyText"/>
        <w:rPr>
          <w:rFonts w:ascii="Calisto MT" w:hAnsi="Calisto MT" w:cs="Arial"/>
          <w:b/>
          <w:noProof/>
        </w:rPr>
      </w:pPr>
      <w:r w:rsidRPr="00F27EE3">
        <w:rPr>
          <w:rFonts w:ascii="Calisto MT" w:hAnsi="Calisto MT" w:cs="Arial"/>
          <w:b/>
          <w:noProof/>
          <w:u w:val="single"/>
        </w:rPr>
        <w:t>I</w:t>
      </w:r>
      <w:r>
        <w:rPr>
          <w:rFonts w:ascii="Calisto MT" w:hAnsi="Calisto MT" w:cs="Arial"/>
          <w:b/>
          <w:noProof/>
          <w:u w:val="single"/>
        </w:rPr>
        <w:t>mpuesto sobre los Bienes Personales (IBP)</w:t>
      </w:r>
    </w:p>
    <w:p w:rsidR="00577BA4" w:rsidRDefault="00577BA4" w:rsidP="000F7A69">
      <w:pPr>
        <w:pStyle w:val="BodyText"/>
        <w:rPr>
          <w:rFonts w:ascii="Calisto MT" w:hAnsi="Calisto MT" w:cs="Arial"/>
          <w:noProof/>
        </w:rPr>
      </w:pPr>
    </w:p>
    <w:p w:rsidR="00577BA4" w:rsidRDefault="00577BA4" w:rsidP="000F7A69">
      <w:pPr>
        <w:pStyle w:val="BodyText"/>
        <w:rPr>
          <w:rFonts w:ascii="Calisto MT" w:hAnsi="Calisto MT" w:cs="Arial"/>
          <w:noProof/>
        </w:rPr>
      </w:pPr>
      <w:r w:rsidRPr="000751B0">
        <w:rPr>
          <w:rFonts w:ascii="Calisto MT" w:hAnsi="Calisto MT" w:cs="Arial"/>
          <w:noProof/>
        </w:rPr>
        <w:t>E</w:t>
      </w:r>
      <w:r>
        <w:rPr>
          <w:rFonts w:ascii="Calisto MT" w:hAnsi="Calisto MT" w:cs="Arial"/>
          <w:noProof/>
        </w:rPr>
        <w:t xml:space="preserve">l concepto de patrimonio “global” o “mundial es el principio rector que gobierna el impuesto sobre los bienes personales para aquellos sujetos domiciliados en </w:t>
      </w:r>
      <w:smartTag w:uri="urn:schemas-microsoft-com:office:smarttags" w:element="PersonName">
        <w:smartTagPr>
          <w:attr w:name="ProductID" w:val="la Sociedad"/>
        </w:smartTagPr>
        <w:r>
          <w:rPr>
            <w:rFonts w:ascii="Calisto MT" w:hAnsi="Calisto MT" w:cs="Arial"/>
            <w:noProof/>
          </w:rPr>
          <w:t>la República Argentina.</w:t>
        </w:r>
      </w:smartTag>
    </w:p>
    <w:p w:rsidR="00577BA4" w:rsidRDefault="00577BA4" w:rsidP="000F7A69">
      <w:pPr>
        <w:pStyle w:val="BodyText"/>
        <w:rPr>
          <w:rFonts w:ascii="Calisto MT" w:hAnsi="Calisto MT" w:cs="Arial"/>
          <w:noProof/>
        </w:rPr>
      </w:pPr>
    </w:p>
    <w:p w:rsidR="00577BA4" w:rsidRPr="000751B0" w:rsidRDefault="00577BA4" w:rsidP="000F7A69">
      <w:pPr>
        <w:pStyle w:val="BodyText"/>
        <w:rPr>
          <w:rFonts w:ascii="Calisto MT" w:hAnsi="Calisto MT" w:cs="Arial"/>
          <w:b/>
          <w:noProof/>
        </w:rPr>
      </w:pPr>
      <w:r>
        <w:rPr>
          <w:rFonts w:ascii="Calisto MT" w:hAnsi="Calisto MT" w:cs="Arial"/>
          <w:noProof/>
        </w:rPr>
        <w:t>A partir de esta premisa es interesante esta oportunidad que se me brinda de compartir situaciones que podrían derivarse en la práctica y que merecen atención a fin de no generar escenarios de doble imposición, atendiendo al alcance que la ley del gravamen ofrece en lo que hace a la acreditación de impuestos análogos y a escenarios particulares que pudieran derivarse del último régimen de sinceramiento fiscal instaurado por la ley 27.260, y que ya pudo haber tenido ramificaciones en las recientes presentaciones realizadas por el período fiscal 2016.</w:t>
      </w:r>
    </w:p>
    <w:p w:rsidR="00577BA4" w:rsidRDefault="00577BA4" w:rsidP="000F7A69">
      <w:pPr>
        <w:pStyle w:val="BodyText"/>
        <w:rPr>
          <w:rFonts w:ascii="Calisto MT" w:hAnsi="Calisto MT" w:cs="Arial"/>
          <w:noProof/>
        </w:rPr>
      </w:pPr>
    </w:p>
    <w:p w:rsidR="00577BA4" w:rsidRDefault="00577BA4" w:rsidP="000F7A69">
      <w:pPr>
        <w:pStyle w:val="BodyText"/>
        <w:rPr>
          <w:rFonts w:ascii="Calisto MT" w:hAnsi="Calisto MT" w:cs="Arial"/>
          <w:noProof/>
        </w:rPr>
      </w:pPr>
      <w:r>
        <w:rPr>
          <w:rFonts w:ascii="Calisto MT" w:hAnsi="Calisto MT" w:cs="Arial"/>
          <w:noProof/>
        </w:rPr>
        <w:t>En tal sentido es que a continuación abordaré cuestiones específicas que, sin ser excluyentes de otras, ofrecen aristas para el debate, siendo mi ánimo el disparar inquietudes y arrimar respuestas que, lejos de ser unívocas y concluyentes, brinden algo de luz en escenarios que podrían presentarse complejos a partir de decisiones puntuales que los contribuyentes pudieron haber tomado.</w:t>
      </w:r>
    </w:p>
    <w:p w:rsidR="00577BA4" w:rsidRPr="000751B0" w:rsidRDefault="00577BA4" w:rsidP="000F7A69">
      <w:pPr>
        <w:pStyle w:val="BodyText"/>
        <w:rPr>
          <w:rFonts w:ascii="Calisto MT" w:hAnsi="Calisto MT" w:cs="Arial"/>
          <w:noProof/>
        </w:rPr>
      </w:pPr>
    </w:p>
    <w:p w:rsidR="00577BA4" w:rsidRPr="00F27EE3" w:rsidRDefault="00577BA4" w:rsidP="000F7A69">
      <w:pPr>
        <w:pStyle w:val="BodyText"/>
        <w:numPr>
          <w:ilvl w:val="0"/>
          <w:numId w:val="3"/>
        </w:numPr>
        <w:ind w:left="426"/>
        <w:rPr>
          <w:rFonts w:ascii="Calisto MT" w:hAnsi="Calisto MT" w:cs="Arial"/>
          <w:b/>
          <w:noProof/>
        </w:rPr>
      </w:pPr>
      <w:r>
        <w:rPr>
          <w:rFonts w:ascii="Calisto MT" w:hAnsi="Calisto MT" w:cs="Arial"/>
          <w:b/>
          <w:noProof/>
        </w:rPr>
        <w:t>Bienes en el exterior y en el país mantenidos a través de una sociedad extranjera – E</w:t>
      </w:r>
      <w:r w:rsidRPr="00F27EE3">
        <w:rPr>
          <w:rFonts w:ascii="Calisto MT" w:hAnsi="Calisto MT" w:cs="Arial"/>
          <w:b/>
          <w:noProof/>
        </w:rPr>
        <w:t>xistencia de un impuesto análogo del IBP</w:t>
      </w:r>
      <w:r>
        <w:rPr>
          <w:rFonts w:ascii="Calisto MT" w:hAnsi="Calisto MT" w:cs="Arial"/>
          <w:b/>
          <w:noProof/>
        </w:rPr>
        <w:t xml:space="preserve"> – C</w:t>
      </w:r>
      <w:r w:rsidRPr="00F27EE3">
        <w:rPr>
          <w:rFonts w:ascii="Calisto MT" w:hAnsi="Calisto MT" w:cs="Arial"/>
          <w:b/>
          <w:noProof/>
        </w:rPr>
        <w:t>ómputo de</w:t>
      </w:r>
      <w:r>
        <w:rPr>
          <w:rFonts w:ascii="Calisto MT" w:hAnsi="Calisto MT" w:cs="Arial"/>
          <w:b/>
          <w:noProof/>
        </w:rPr>
        <w:t xml:space="preserve"> impuestos análogos pagados en el exterior (</w:t>
      </w:r>
      <w:r w:rsidRPr="00F27EE3">
        <w:rPr>
          <w:rFonts w:ascii="Calisto MT" w:hAnsi="Calisto MT" w:cs="Arial"/>
          <w:b/>
          <w:noProof/>
        </w:rPr>
        <w:t>FTC</w:t>
      </w:r>
      <w:r>
        <w:rPr>
          <w:rFonts w:ascii="Calisto MT" w:hAnsi="Calisto MT" w:cs="Arial"/>
          <w:b/>
          <w:noProof/>
        </w:rPr>
        <w:t>) o en el país</w:t>
      </w:r>
      <w:r w:rsidRPr="00F27EE3">
        <w:rPr>
          <w:rFonts w:ascii="Calisto MT" w:hAnsi="Calisto MT" w:cs="Arial"/>
          <w:b/>
          <w:noProof/>
        </w:rPr>
        <w:t xml:space="preserve"> por</w:t>
      </w:r>
      <w:r>
        <w:rPr>
          <w:rFonts w:ascii="Calisto MT" w:hAnsi="Calisto MT" w:cs="Arial"/>
          <w:b/>
          <w:noProof/>
        </w:rPr>
        <w:t>:</w:t>
      </w:r>
    </w:p>
    <w:p w:rsidR="00577BA4" w:rsidRDefault="00577BA4" w:rsidP="000F7A69">
      <w:pPr>
        <w:pStyle w:val="BodyText"/>
        <w:ind w:left="720"/>
        <w:rPr>
          <w:rFonts w:ascii="Calisto MT" w:hAnsi="Calisto MT" w:cs="Arial"/>
          <w:b/>
          <w:noProof/>
        </w:rPr>
      </w:pPr>
    </w:p>
    <w:p w:rsidR="00577BA4" w:rsidRPr="00F27EE3" w:rsidRDefault="00577BA4" w:rsidP="000F7A69">
      <w:pPr>
        <w:pStyle w:val="BodyText"/>
        <w:numPr>
          <w:ilvl w:val="0"/>
          <w:numId w:val="1"/>
        </w:numPr>
        <w:rPr>
          <w:rFonts w:ascii="Calisto MT" w:hAnsi="Calisto MT" w:cs="Arial"/>
          <w:b/>
          <w:noProof/>
        </w:rPr>
      </w:pPr>
      <w:r w:rsidRPr="00F27EE3">
        <w:rPr>
          <w:rFonts w:ascii="Calisto MT" w:hAnsi="Calisto MT" w:cs="Arial"/>
          <w:b/>
          <w:noProof/>
        </w:rPr>
        <w:t xml:space="preserve">El accionista residente </w:t>
      </w:r>
      <w:r>
        <w:rPr>
          <w:rFonts w:ascii="Calisto MT" w:hAnsi="Calisto MT" w:cs="Arial"/>
          <w:b/>
          <w:noProof/>
        </w:rPr>
        <w:t xml:space="preserve">(domiciliado) </w:t>
      </w:r>
      <w:r w:rsidRPr="00F27EE3">
        <w:rPr>
          <w:rFonts w:ascii="Calisto MT" w:hAnsi="Calisto MT" w:cs="Arial"/>
          <w:b/>
          <w:noProof/>
        </w:rPr>
        <w:t>en el país</w:t>
      </w:r>
    </w:p>
    <w:p w:rsidR="00577BA4" w:rsidRDefault="00577BA4" w:rsidP="000F7A69">
      <w:pPr>
        <w:pStyle w:val="BodyText"/>
        <w:ind w:left="720"/>
        <w:rPr>
          <w:rFonts w:ascii="Calisto MT" w:hAnsi="Calisto MT" w:cs="Arial"/>
          <w:b/>
          <w:noProof/>
        </w:rPr>
      </w:pPr>
    </w:p>
    <w:p w:rsidR="00577BA4" w:rsidRPr="00F27EE3" w:rsidRDefault="00577BA4" w:rsidP="000F7A69">
      <w:pPr>
        <w:pStyle w:val="BodyText"/>
        <w:numPr>
          <w:ilvl w:val="0"/>
          <w:numId w:val="1"/>
        </w:numPr>
        <w:rPr>
          <w:rFonts w:ascii="Calisto MT" w:hAnsi="Calisto MT" w:cs="Arial"/>
          <w:b/>
          <w:noProof/>
        </w:rPr>
      </w:pPr>
      <w:smartTag w:uri="urn:schemas-microsoft-com:office:smarttags" w:element="PersonName">
        <w:smartTagPr>
          <w:attr w:name="ProductID" w:val="la Sociedad"/>
        </w:smartTagPr>
        <w:r w:rsidRPr="00F27EE3">
          <w:rPr>
            <w:rFonts w:ascii="Calisto MT" w:hAnsi="Calisto MT" w:cs="Arial"/>
            <w:b/>
            <w:noProof/>
          </w:rPr>
          <w:t>la Sociedad</w:t>
        </w:r>
      </w:smartTag>
      <w:r>
        <w:rPr>
          <w:rFonts w:ascii="Calisto MT" w:hAnsi="Calisto MT" w:cs="Arial"/>
          <w:b/>
          <w:noProof/>
        </w:rPr>
        <w:t xml:space="preserve"> extranjera</w:t>
      </w:r>
      <w:r w:rsidRPr="00F27EE3">
        <w:rPr>
          <w:rFonts w:ascii="Calisto MT" w:hAnsi="Calisto MT" w:cs="Arial"/>
          <w:b/>
          <w:noProof/>
        </w:rPr>
        <w:t xml:space="preserve">, </w:t>
      </w:r>
    </w:p>
    <w:p w:rsidR="00577BA4" w:rsidRDefault="00577BA4" w:rsidP="000F7A69">
      <w:pPr>
        <w:pStyle w:val="BodyText"/>
        <w:ind w:left="720"/>
        <w:rPr>
          <w:rFonts w:ascii="Calisto MT" w:hAnsi="Calisto MT" w:cs="Arial"/>
          <w:b/>
          <w:noProof/>
        </w:rPr>
      </w:pPr>
    </w:p>
    <w:p w:rsidR="00577BA4" w:rsidRPr="00F27EE3" w:rsidRDefault="00577BA4" w:rsidP="000F7A69">
      <w:pPr>
        <w:pStyle w:val="BodyText"/>
        <w:numPr>
          <w:ilvl w:val="0"/>
          <w:numId w:val="1"/>
        </w:numPr>
        <w:rPr>
          <w:rFonts w:ascii="Calisto MT" w:hAnsi="Calisto MT" w:cs="Arial"/>
          <w:b/>
          <w:noProof/>
        </w:rPr>
      </w:pPr>
      <w:r w:rsidRPr="00F27EE3">
        <w:rPr>
          <w:rFonts w:ascii="Calisto MT" w:hAnsi="Calisto MT" w:cs="Arial"/>
          <w:b/>
          <w:noProof/>
        </w:rPr>
        <w:t xml:space="preserve">otra/s Sociedades Participadas </w:t>
      </w:r>
    </w:p>
    <w:p w:rsidR="00577BA4" w:rsidRDefault="00577BA4" w:rsidP="000F7A69">
      <w:pPr>
        <w:pStyle w:val="BodyText"/>
        <w:rPr>
          <w:rFonts w:ascii="Calisto MT" w:hAnsi="Calisto MT" w:cs="Arial"/>
          <w:noProof/>
        </w:rPr>
      </w:pPr>
    </w:p>
    <w:p w:rsidR="00577BA4" w:rsidRPr="000F7A69" w:rsidRDefault="00577BA4" w:rsidP="000F7A69">
      <w:pPr>
        <w:pStyle w:val="BodyText"/>
        <w:rPr>
          <w:rFonts w:ascii="Calisto MT" w:hAnsi="Calisto MT" w:cs="Arial"/>
          <w:noProof/>
        </w:rPr>
      </w:pPr>
      <w:r w:rsidRPr="000F7A69">
        <w:rPr>
          <w:rFonts w:ascii="Calisto MT" w:hAnsi="Calisto MT" w:cs="Arial"/>
          <w:noProof/>
        </w:rPr>
        <w:t>El  artículo 25 de la ley dispone que, a efectos de mitigar una posible doble imposición, los sujetos del IBP podrán computar como pago a cuenta las sumas efectivamente pagadas en el exterior por gravámenes similares que consideren como base imponible el patrimonio o los bienes en forma global. Este crédito sólo podrá computarse hasta el incremento de la obligación fiscal originado por la incorporación de los bienes situados con carácter permanente en el exterior.</w:t>
      </w:r>
    </w:p>
    <w:p w:rsidR="00577BA4" w:rsidRDefault="00577BA4" w:rsidP="000F7A69">
      <w:pPr>
        <w:pStyle w:val="BodyText"/>
        <w:rPr>
          <w:rFonts w:ascii="Calisto MT" w:hAnsi="Calisto MT" w:cs="Arial"/>
          <w:noProof/>
        </w:rPr>
      </w:pPr>
    </w:p>
    <w:p w:rsidR="00577BA4" w:rsidRPr="000F7A69" w:rsidRDefault="00577BA4" w:rsidP="000F7A69">
      <w:pPr>
        <w:pStyle w:val="BodyText"/>
        <w:rPr>
          <w:rFonts w:ascii="Calisto MT" w:hAnsi="Calisto MT" w:cs="Arial"/>
          <w:noProof/>
        </w:rPr>
      </w:pPr>
      <w:r w:rsidRPr="000F7A69">
        <w:rPr>
          <w:rFonts w:ascii="Calisto MT" w:hAnsi="Calisto MT" w:cs="Arial"/>
          <w:noProof/>
        </w:rPr>
        <w:t>Por su parte, los artículos 26 y el incorporado a continuación del artículo 25 proponen un régimen especial de ingreso para (i) aquellos bienes en el país pertenecientes a individuos del exterior – inclusive acciones y/o participaciones en sociedades argentinas –, (ii) aquellos bienes inmuebles y acciones y/o participaciones en sociedades argentinas pertenecientes a sociedades del exterior, y (iii) aquellas obligaciones negociables</w:t>
      </w:r>
      <w:r>
        <w:rPr>
          <w:rFonts w:ascii="Calisto MT" w:hAnsi="Calisto MT" w:cs="Arial"/>
          <w:noProof/>
        </w:rPr>
        <w:t xml:space="preserve"> – excepto aquellas emitidas por oferta pública –</w:t>
      </w:r>
      <w:r w:rsidRPr="000F7A69">
        <w:rPr>
          <w:rFonts w:ascii="Calisto MT" w:hAnsi="Calisto MT" w:cs="Arial"/>
          <w:noProof/>
        </w:rPr>
        <w:t>, cuotas partes de fondos comunes de inversión y participaciones en el capital de entidades cooperativas del país pertenecientes a sociedades del exterior radicadas en países que no exijan un régimen de nominatividad de acciones y, por su naturaleza jurídica o sus estatutos tengan por actividad principal realizar inversiones fuera de la jurisdicción del país de constitución y/o no puedan ejercer en las mismas ciertas operaciones y/o inversiones expresamente determinadas en el régimen legal o estatutario que las regula (entidades “off-shore”).</w:t>
      </w:r>
    </w:p>
    <w:p w:rsidR="00577BA4" w:rsidRDefault="00577BA4" w:rsidP="000F7A69">
      <w:pPr>
        <w:pStyle w:val="BodyText"/>
        <w:rPr>
          <w:rFonts w:ascii="Calisto MT" w:hAnsi="Calisto MT" w:cs="Arial"/>
          <w:noProof/>
        </w:rPr>
      </w:pPr>
    </w:p>
    <w:p w:rsidR="00577BA4" w:rsidRPr="000F7A69" w:rsidRDefault="00577BA4" w:rsidP="000F7A69">
      <w:pPr>
        <w:pStyle w:val="BodyText"/>
        <w:rPr>
          <w:rFonts w:ascii="Calisto MT" w:hAnsi="Calisto MT" w:cs="Arial"/>
          <w:noProof/>
        </w:rPr>
      </w:pPr>
      <w:r w:rsidRPr="000F7A69">
        <w:rPr>
          <w:rFonts w:ascii="Calisto MT" w:hAnsi="Calisto MT" w:cs="Arial"/>
          <w:noProof/>
        </w:rPr>
        <w:t>No escapó al legislado</w:t>
      </w:r>
      <w:r>
        <w:rPr>
          <w:rFonts w:ascii="Calisto MT" w:hAnsi="Calisto MT" w:cs="Arial"/>
          <w:noProof/>
        </w:rPr>
        <w:t>r</w:t>
      </w:r>
      <w:r w:rsidRPr="000F7A69">
        <w:rPr>
          <w:rFonts w:ascii="Calisto MT" w:hAnsi="Calisto MT" w:cs="Arial"/>
          <w:noProof/>
        </w:rPr>
        <w:t xml:space="preserve"> el hecho de que</w:t>
      </w:r>
      <w:r>
        <w:rPr>
          <w:rFonts w:ascii="Calisto MT" w:hAnsi="Calisto MT" w:cs="Arial"/>
          <w:noProof/>
        </w:rPr>
        <w:t>,</w:t>
      </w:r>
      <w:r w:rsidRPr="000F7A69">
        <w:rPr>
          <w:rFonts w:ascii="Calisto MT" w:hAnsi="Calisto MT" w:cs="Arial"/>
          <w:noProof/>
        </w:rPr>
        <w:t xml:space="preserve"> a través de tales supuestos de responsabilidad sustituta, se vieran alcanzad</w:t>
      </w:r>
      <w:r>
        <w:rPr>
          <w:rFonts w:ascii="Calisto MT" w:hAnsi="Calisto MT" w:cs="Arial"/>
          <w:noProof/>
        </w:rPr>
        <w:t>a</w:t>
      </w:r>
      <w:r w:rsidRPr="000F7A69">
        <w:rPr>
          <w:rFonts w:ascii="Calisto MT" w:hAnsi="Calisto MT" w:cs="Arial"/>
          <w:noProof/>
        </w:rPr>
        <w:t>s entidades extranjeras cuyo titular último pudiera ser un individuo domiciliado en nuestro país</w:t>
      </w:r>
      <w:r>
        <w:rPr>
          <w:rFonts w:ascii="Calisto MT" w:hAnsi="Calisto MT" w:cs="Arial"/>
          <w:noProof/>
        </w:rPr>
        <w:t>,</w:t>
      </w:r>
      <w:r w:rsidRPr="000F7A69">
        <w:rPr>
          <w:rFonts w:ascii="Calisto MT" w:hAnsi="Calisto MT" w:cs="Arial"/>
          <w:noProof/>
        </w:rPr>
        <w:t xml:space="preserve"> por lo que el artículo 26 en su antepenúltimo párrafo previó que la reglamentación estableciera los mecanismos mediante los cuales se evitará la doble imposición en el país en los casos en que las sociedades del exterior sean titulares de bienes comprendidos en este artículo siendo sus acciones poseídas por residentes en el país u otros supuestos de doble imposición que pudieran presentarse. </w:t>
      </w:r>
    </w:p>
    <w:p w:rsidR="00577BA4" w:rsidRDefault="00577BA4" w:rsidP="000F7A69">
      <w:pPr>
        <w:pStyle w:val="NormalWeb"/>
        <w:spacing w:before="0" w:after="0"/>
        <w:ind w:left="0"/>
        <w:jc w:val="both"/>
        <w:rPr>
          <w:rFonts w:ascii="Verdana" w:hAnsi="Verdana"/>
        </w:rPr>
      </w:pPr>
    </w:p>
    <w:p w:rsidR="00577BA4" w:rsidRDefault="00577BA4" w:rsidP="00C42990">
      <w:pPr>
        <w:pStyle w:val="BodyText"/>
        <w:rPr>
          <w:rFonts w:ascii="Calisto MT" w:hAnsi="Calisto MT" w:cs="Arial"/>
          <w:noProof/>
        </w:rPr>
      </w:pPr>
      <w:r w:rsidRPr="00C42990">
        <w:rPr>
          <w:rFonts w:ascii="Calisto MT" w:hAnsi="Calisto MT" w:cs="Arial"/>
          <w:noProof/>
        </w:rPr>
        <w:t xml:space="preserve">En esa línea, el artículo incorporado a continuación del artículo 28 del decreto reglamentario del impuesto (DR) dispone que las personas físicas </w:t>
      </w:r>
      <w:r>
        <w:rPr>
          <w:rFonts w:ascii="Calisto MT" w:hAnsi="Calisto MT" w:cs="Arial"/>
          <w:noProof/>
        </w:rPr>
        <w:t xml:space="preserve">(humanas ahora) </w:t>
      </w:r>
      <w:r w:rsidRPr="00C42990">
        <w:rPr>
          <w:rFonts w:ascii="Calisto MT" w:hAnsi="Calisto MT" w:cs="Arial"/>
          <w:noProof/>
        </w:rPr>
        <w:t>y sucesiones indivisas domiciliadas en el país que sean titulares o participen en el capital de cualquier tipo de persona ideal, ente o patrimonio de afectación, domiciliado, radicado o ubicado en el exterior, que a su vez participe en las sociedades o empresas</w:t>
      </w:r>
      <w:r>
        <w:rPr>
          <w:rStyle w:val="FootnoteReference"/>
          <w:rFonts w:ascii="Calisto MT" w:hAnsi="Calisto MT" w:cs="Arial"/>
          <w:noProof/>
        </w:rPr>
        <w:footnoteReference w:id="2"/>
      </w:r>
      <w:r w:rsidRPr="00C42990">
        <w:rPr>
          <w:rFonts w:ascii="Calisto MT" w:hAnsi="Calisto MT" w:cs="Arial"/>
          <w:noProof/>
        </w:rPr>
        <w:t xml:space="preserve"> a que se refieren los artículos incorporados a continuación del artículo 25 de la ley del</w:t>
      </w:r>
      <w:r>
        <w:rPr>
          <w:rFonts w:ascii="Calisto MT" w:hAnsi="Calisto MT" w:cs="Arial"/>
          <w:noProof/>
        </w:rPr>
        <w:t xml:space="preserve"> tributo y del artículo 20 de l</w:t>
      </w:r>
      <w:r w:rsidRPr="00C42990">
        <w:rPr>
          <w:rFonts w:ascii="Calisto MT" w:hAnsi="Calisto MT" w:cs="Arial"/>
          <w:noProof/>
        </w:rPr>
        <w:t>a reglamentación, podrán computar como pago a cuenta del impuesto que determinen la proporción del pagado por los bienes comprendidos en el régimen de liquidación e ingreso en concepto de pago único y definitivo establecido por los artículos mencionados, que corresponda a su participación en el capital de los titulares de dichos bienes</w:t>
      </w:r>
      <w:r>
        <w:rPr>
          <w:rFonts w:ascii="Calisto MT" w:hAnsi="Calisto MT" w:cs="Arial"/>
          <w:noProof/>
        </w:rPr>
        <w:t>,</w:t>
      </w:r>
      <w:r w:rsidRPr="00C42990">
        <w:rPr>
          <w:rFonts w:ascii="Calisto MT" w:hAnsi="Calisto MT" w:cs="Arial"/>
          <w:noProof/>
        </w:rPr>
        <w:t xml:space="preserve"> en tanto acrediten fehacientemente su ingreso</w:t>
      </w:r>
      <w:r>
        <w:rPr>
          <w:rFonts w:ascii="Calisto MT" w:hAnsi="Calisto MT" w:cs="Arial"/>
          <w:noProof/>
        </w:rPr>
        <w:t xml:space="preserve"> (excluye de esta posibilidad a sociedades del  exterior que no apliquen nominatividad de acciones)</w:t>
      </w:r>
      <w:r w:rsidRPr="00C42990">
        <w:rPr>
          <w:rFonts w:ascii="Calisto MT" w:hAnsi="Calisto MT" w:cs="Arial"/>
          <w:noProof/>
        </w:rPr>
        <w:t>.</w:t>
      </w:r>
    </w:p>
    <w:p w:rsidR="00577BA4" w:rsidRPr="00C42990" w:rsidRDefault="00577BA4" w:rsidP="00C42990">
      <w:pPr>
        <w:pStyle w:val="BodyText"/>
        <w:rPr>
          <w:rFonts w:ascii="Calisto MT" w:hAnsi="Calisto MT" w:cs="Arial"/>
          <w:noProof/>
        </w:rPr>
      </w:pPr>
    </w:p>
    <w:p w:rsidR="00577BA4" w:rsidRDefault="00577BA4" w:rsidP="00C42990">
      <w:pPr>
        <w:pStyle w:val="BodyText"/>
        <w:rPr>
          <w:rFonts w:ascii="Calisto MT" w:hAnsi="Calisto MT" w:cs="Arial"/>
          <w:noProof/>
        </w:rPr>
      </w:pPr>
      <w:r>
        <w:rPr>
          <w:rFonts w:ascii="Calisto MT" w:hAnsi="Calisto MT" w:cs="Arial"/>
          <w:noProof/>
        </w:rPr>
        <w:t>Con igual temperamento, el artículo 29 del DR establece que, c</w:t>
      </w:r>
      <w:r w:rsidRPr="00C42990">
        <w:rPr>
          <w:rFonts w:ascii="Calisto MT" w:hAnsi="Calisto MT" w:cs="Arial"/>
          <w:noProof/>
        </w:rPr>
        <w:t>uando p</w:t>
      </w:r>
      <w:r>
        <w:rPr>
          <w:rFonts w:ascii="Calisto MT" w:hAnsi="Calisto MT" w:cs="Arial"/>
          <w:noProof/>
        </w:rPr>
        <w:t>roceda el pago dispuesto en el</w:t>
      </w:r>
      <w:r w:rsidRPr="00C42990">
        <w:rPr>
          <w:rFonts w:ascii="Calisto MT" w:hAnsi="Calisto MT" w:cs="Arial"/>
          <w:noProof/>
        </w:rPr>
        <w:t xml:space="preserve"> artículo</w:t>
      </w:r>
      <w:r>
        <w:rPr>
          <w:rFonts w:ascii="Calisto MT" w:hAnsi="Calisto MT" w:cs="Arial"/>
          <w:noProof/>
        </w:rPr>
        <w:t xml:space="preserve"> 26</w:t>
      </w:r>
      <w:r w:rsidRPr="00C42990">
        <w:rPr>
          <w:rFonts w:ascii="Calisto MT" w:hAnsi="Calisto MT" w:cs="Arial"/>
          <w:noProof/>
        </w:rPr>
        <w:t xml:space="preserve"> (</w:t>
      </w:r>
      <w:r>
        <w:rPr>
          <w:rFonts w:ascii="Calisto MT" w:hAnsi="Calisto MT" w:cs="Arial"/>
          <w:noProof/>
        </w:rPr>
        <w:t xml:space="preserve">responsabilidad sustituta en caso de </w:t>
      </w:r>
      <w:r w:rsidRPr="00C42990">
        <w:rPr>
          <w:rFonts w:ascii="Calisto MT" w:hAnsi="Calisto MT" w:cs="Arial"/>
          <w:noProof/>
        </w:rPr>
        <w:t xml:space="preserve">entidades en paísessin nominatividad de acciones y </w:t>
      </w:r>
      <w:r>
        <w:rPr>
          <w:rFonts w:ascii="Calisto MT" w:hAnsi="Calisto MT" w:cs="Arial"/>
          <w:noProof/>
        </w:rPr>
        <w:t xml:space="preserve">con régimen </w:t>
      </w:r>
      <w:r w:rsidRPr="00C42990">
        <w:rPr>
          <w:rFonts w:ascii="Calisto MT" w:hAnsi="Calisto MT" w:cs="Arial"/>
          <w:i/>
          <w:noProof/>
        </w:rPr>
        <w:t>off-shore</w:t>
      </w:r>
      <w:r w:rsidRPr="00C42990">
        <w:rPr>
          <w:rFonts w:ascii="Calisto MT" w:hAnsi="Calisto MT" w:cs="Arial"/>
          <w:noProof/>
        </w:rPr>
        <w:t xml:space="preserve"> titulares de</w:t>
      </w:r>
      <w:r>
        <w:rPr>
          <w:rFonts w:ascii="Calisto MT" w:hAnsi="Calisto MT" w:cs="Arial"/>
          <w:noProof/>
        </w:rPr>
        <w:t xml:space="preserve"> bienes en general, excepto </w:t>
      </w:r>
      <w:r w:rsidRPr="00C42990">
        <w:rPr>
          <w:rFonts w:ascii="Calisto MT" w:hAnsi="Calisto MT" w:cs="Arial"/>
          <w:noProof/>
        </w:rPr>
        <w:t>tí</w:t>
      </w:r>
      <w:r>
        <w:rPr>
          <w:rFonts w:ascii="Calisto MT" w:hAnsi="Calisto MT" w:cs="Arial"/>
          <w:noProof/>
        </w:rPr>
        <w:t xml:space="preserve">tulos valores, o entidades del </w:t>
      </w:r>
      <w:r w:rsidRPr="00C42990">
        <w:rPr>
          <w:rFonts w:ascii="Calisto MT" w:hAnsi="Calisto MT" w:cs="Arial"/>
          <w:noProof/>
        </w:rPr>
        <w:t>exterior titulares de inmuebles en el país), las personas físicas y sucesiones indivisas domiciliadas en el país que sean titulares o participen en la titularidad del capital de las sociedades, empresas, patrimonios de afectación o explotaciones a las que se refiere el primer párrafo de este artículo, podrán computar como pago a cuenta del impuesto que determinen, la proporción del pagado por los bienes incluidos en el presente régimen, que corresponda a su participación en el capital de los titulares de dichos bienes, en tanto acrediten fehacientemente su ingreso.</w:t>
      </w:r>
    </w:p>
    <w:p w:rsidR="00577BA4" w:rsidRDefault="00577BA4" w:rsidP="00C42990">
      <w:pPr>
        <w:pStyle w:val="BodyText"/>
        <w:rPr>
          <w:rFonts w:ascii="Calisto MT" w:hAnsi="Calisto MT" w:cs="Arial"/>
          <w:noProof/>
        </w:rPr>
      </w:pPr>
    </w:p>
    <w:p w:rsidR="00577BA4" w:rsidRDefault="00577BA4" w:rsidP="00877545">
      <w:pPr>
        <w:pStyle w:val="BodyText"/>
        <w:rPr>
          <w:rFonts w:ascii="Calisto MT" w:hAnsi="Calisto MT" w:cs="Arial"/>
          <w:noProof/>
        </w:rPr>
      </w:pPr>
      <w:r>
        <w:rPr>
          <w:rFonts w:ascii="Calisto MT" w:hAnsi="Calisto MT" w:cs="Arial"/>
          <w:noProof/>
        </w:rPr>
        <w:t>Finalmente, el artículo 31 del DR dispone que, e</w:t>
      </w:r>
      <w:r w:rsidRPr="00877545">
        <w:rPr>
          <w:rFonts w:ascii="Calisto MT" w:hAnsi="Calisto MT" w:cs="Arial"/>
          <w:noProof/>
        </w:rPr>
        <w:t>n los casos no expresamente previstos en ese decreto reglamentario se aplicarán supletoriamente las disposiciones legales y reglamentarias del impuesto a las ganancias.</w:t>
      </w:r>
    </w:p>
    <w:p w:rsidR="00577BA4" w:rsidRDefault="00577BA4" w:rsidP="00877545">
      <w:pPr>
        <w:pStyle w:val="BodyText"/>
        <w:rPr>
          <w:rFonts w:ascii="Calisto MT" w:hAnsi="Calisto MT" w:cs="Arial"/>
          <w:noProof/>
        </w:rPr>
      </w:pPr>
    </w:p>
    <w:p w:rsidR="00577BA4" w:rsidRDefault="00577BA4" w:rsidP="00877545">
      <w:pPr>
        <w:pStyle w:val="BodyText"/>
        <w:rPr>
          <w:rFonts w:ascii="Calisto MT" w:hAnsi="Calisto MT" w:cs="Arial"/>
          <w:noProof/>
        </w:rPr>
      </w:pPr>
      <w:r>
        <w:rPr>
          <w:rFonts w:ascii="Calisto MT" w:hAnsi="Calisto MT" w:cs="Arial"/>
          <w:noProof/>
        </w:rPr>
        <w:t>Respecto a esta supletoriedad se suscita la inquietud de si la misma se extiende a imprevisiones exclusivamente vinculadas con escenarios regulados o habilita a esgrimir situaciones no  reguladas. Para ser más precisos:</w:t>
      </w:r>
    </w:p>
    <w:p w:rsidR="00577BA4" w:rsidRDefault="00577BA4" w:rsidP="00877545">
      <w:pPr>
        <w:pStyle w:val="BodyText"/>
        <w:rPr>
          <w:rFonts w:ascii="Calisto MT" w:hAnsi="Calisto MT" w:cs="Arial"/>
          <w:noProof/>
        </w:rPr>
      </w:pPr>
    </w:p>
    <w:p w:rsidR="00577BA4" w:rsidRDefault="00577BA4" w:rsidP="000846B0">
      <w:pPr>
        <w:pStyle w:val="BodyText"/>
        <w:numPr>
          <w:ilvl w:val="0"/>
          <w:numId w:val="1"/>
        </w:numPr>
        <w:rPr>
          <w:rFonts w:ascii="Calisto MT" w:hAnsi="Calisto MT" w:cs="Arial"/>
          <w:noProof/>
        </w:rPr>
      </w:pPr>
      <w:r>
        <w:rPr>
          <w:rFonts w:ascii="Calisto MT" w:hAnsi="Calisto MT" w:cs="Arial"/>
          <w:noProof/>
        </w:rPr>
        <w:t>Posibilidad de cómputo de crédito “indirecto” de impuestos pagados en el exterior en caso de “cadena de sociedades”, a partir de determinados umbrales de participación directa e indirecta en entidades del exterior.</w:t>
      </w:r>
    </w:p>
    <w:p w:rsidR="00577BA4" w:rsidRDefault="00577BA4" w:rsidP="000846B0">
      <w:pPr>
        <w:pStyle w:val="BodyText"/>
        <w:ind w:left="720"/>
        <w:rPr>
          <w:rFonts w:ascii="Calisto MT" w:hAnsi="Calisto MT" w:cs="Arial"/>
          <w:noProof/>
        </w:rPr>
      </w:pPr>
    </w:p>
    <w:p w:rsidR="00577BA4" w:rsidRDefault="00577BA4" w:rsidP="000846B0">
      <w:pPr>
        <w:pStyle w:val="BodyText"/>
        <w:numPr>
          <w:ilvl w:val="0"/>
          <w:numId w:val="1"/>
        </w:numPr>
        <w:rPr>
          <w:rFonts w:ascii="Calisto MT" w:hAnsi="Calisto MT" w:cs="Arial"/>
          <w:noProof/>
        </w:rPr>
      </w:pPr>
      <w:r>
        <w:rPr>
          <w:rFonts w:ascii="Calisto MT" w:hAnsi="Calisto MT" w:cs="Arial"/>
          <w:noProof/>
        </w:rPr>
        <w:t>Posibilidad de acreditación del impuesto ingresado por responsables sustitutos en Argentina con relación a bienes de una sociedad del exterior poseída por otra sociedad del exterior cuyo último titular es un individuo domiciliado en Argentina.</w:t>
      </w:r>
    </w:p>
    <w:p w:rsidR="00577BA4" w:rsidRPr="00877545" w:rsidRDefault="00577BA4" w:rsidP="00877545">
      <w:pPr>
        <w:pStyle w:val="BodyText"/>
        <w:rPr>
          <w:rFonts w:ascii="Calisto MT" w:hAnsi="Calisto MT" w:cs="Arial"/>
          <w:noProof/>
        </w:rPr>
      </w:pPr>
    </w:p>
    <w:p w:rsidR="00577BA4" w:rsidRDefault="00577BA4" w:rsidP="00877545">
      <w:pPr>
        <w:pStyle w:val="BodyText"/>
        <w:rPr>
          <w:rFonts w:ascii="Calisto MT" w:hAnsi="Calisto MT" w:cs="Arial"/>
          <w:noProof/>
        </w:rPr>
      </w:pPr>
      <w:r>
        <w:rPr>
          <w:rFonts w:ascii="Calisto MT" w:hAnsi="Calisto MT" w:cs="Arial"/>
          <w:noProof/>
        </w:rPr>
        <w:t>Con relación al primer postulado, la referencia es a los artículos 1° y 2° incorporados a continuación del artículo 165.VIII, donde la reglamentación del impuesto a las ganancias establece que los créditos por impuestos análogos pagados en el extranjero se extienden no sólo a aquel retenido de manera directa al accionista al momento de la percepción del dividendo, si no también a aquellos pagados por la sociedad que distribuye en forma directa y los que hubieran sido pagados o retenidos un “escalón” más abajo en la cadena por una eventual subsidiaria en segundo grado, todo esto provisto que se verifican los porcentajes de tenencia accionaria allí regulados.</w:t>
      </w:r>
    </w:p>
    <w:p w:rsidR="00577BA4" w:rsidRDefault="00577BA4" w:rsidP="00877545">
      <w:pPr>
        <w:pStyle w:val="BodyText"/>
        <w:rPr>
          <w:rFonts w:ascii="Calisto MT" w:hAnsi="Calisto MT" w:cs="Arial"/>
          <w:noProof/>
        </w:rPr>
      </w:pPr>
    </w:p>
    <w:p w:rsidR="00577BA4" w:rsidRDefault="00577BA4" w:rsidP="00877545">
      <w:pPr>
        <w:pStyle w:val="BodyText"/>
        <w:rPr>
          <w:rFonts w:ascii="Calisto MT" w:hAnsi="Calisto MT" w:cs="Arial"/>
          <w:noProof/>
        </w:rPr>
      </w:pPr>
      <w:r>
        <w:rPr>
          <w:rFonts w:ascii="Calisto MT" w:hAnsi="Calisto MT" w:cs="Arial"/>
          <w:noProof/>
        </w:rPr>
        <w:t>Sin una pretensión de ser concluyente en este sentido, p</w:t>
      </w:r>
      <w:r w:rsidRPr="00877545">
        <w:rPr>
          <w:rFonts w:ascii="Calisto MT" w:hAnsi="Calisto MT" w:cs="Arial"/>
          <w:noProof/>
        </w:rPr>
        <w:t>areciera que extrapolar</w:t>
      </w:r>
      <w:r>
        <w:rPr>
          <w:rFonts w:ascii="Calisto MT" w:hAnsi="Calisto MT" w:cs="Arial"/>
          <w:noProof/>
        </w:rPr>
        <w:t xml:space="preserve"> confiadamente</w:t>
      </w:r>
      <w:r w:rsidRPr="00877545">
        <w:rPr>
          <w:rFonts w:ascii="Calisto MT" w:hAnsi="Calisto MT" w:cs="Arial"/>
          <w:noProof/>
        </w:rPr>
        <w:t xml:space="preserve"> la supletoriedad </w:t>
      </w:r>
      <w:r>
        <w:rPr>
          <w:rFonts w:ascii="Calisto MT" w:hAnsi="Calisto MT" w:cs="Arial"/>
          <w:noProof/>
        </w:rPr>
        <w:t xml:space="preserve">de las normas </w:t>
      </w:r>
      <w:r w:rsidRPr="00877545">
        <w:rPr>
          <w:rFonts w:ascii="Calisto MT" w:hAnsi="Calisto MT" w:cs="Arial"/>
          <w:noProof/>
        </w:rPr>
        <w:t>a un supuesto que la ley de IBP no regula puede ser excesivo</w:t>
      </w:r>
      <w:r>
        <w:rPr>
          <w:rFonts w:ascii="Calisto MT" w:hAnsi="Calisto MT" w:cs="Arial"/>
          <w:noProof/>
        </w:rPr>
        <w:t>,toda vez que estamos hablando de</w:t>
      </w:r>
      <w:r w:rsidRPr="00877545">
        <w:rPr>
          <w:rFonts w:ascii="Calisto MT" w:hAnsi="Calisto MT" w:cs="Arial"/>
          <w:noProof/>
        </w:rPr>
        <w:t xml:space="preserve"> una norma específica </w:t>
      </w:r>
      <w:r>
        <w:rPr>
          <w:rFonts w:ascii="Calisto MT" w:hAnsi="Calisto MT" w:cs="Arial"/>
          <w:noProof/>
        </w:rPr>
        <w:t>vinculada con</w:t>
      </w:r>
      <w:r w:rsidRPr="00877545">
        <w:rPr>
          <w:rFonts w:ascii="Calisto MT" w:hAnsi="Calisto MT" w:cs="Arial"/>
          <w:noProof/>
        </w:rPr>
        <w:t xml:space="preserve"> el flujo de dividendos exclusivamente</w:t>
      </w:r>
      <w:r>
        <w:rPr>
          <w:rFonts w:ascii="Calisto MT" w:hAnsi="Calisto MT" w:cs="Arial"/>
          <w:noProof/>
        </w:rPr>
        <w:t>, de cara a la “reconstrucción” de la ganancia bruta en manos del inversor. Es decir, esta pretendida supletoriedad no necesariamente habilita a la acreditación de impuesto sobre los bienes – eventualmente el más probable – o al patrimonio neto en cabeza de alguna sociedad a un fisco extranjero</w:t>
      </w:r>
      <w:r w:rsidRPr="00877545">
        <w:rPr>
          <w:rFonts w:ascii="Calisto MT" w:hAnsi="Calisto MT" w:cs="Arial"/>
          <w:noProof/>
        </w:rPr>
        <w:t>.</w:t>
      </w:r>
      <w:r>
        <w:rPr>
          <w:rFonts w:ascii="Calisto MT" w:hAnsi="Calisto MT" w:cs="Arial"/>
          <w:noProof/>
        </w:rPr>
        <w:t xml:space="preserve"> La visión conservadora radica en que, cuando se pretendió prever otro supuesto de acreditación el mismo se contempló, tal como ocurre con la tenencia indirecta – a través de una sociedad extranjera – de bienes inmuebles o participaciones societarias en el país – o demás bienes si se diera el extremo de entidad </w:t>
      </w:r>
      <w:r w:rsidRPr="00396D65">
        <w:rPr>
          <w:rFonts w:ascii="Calisto MT" w:hAnsi="Calisto MT" w:cs="Arial"/>
          <w:i/>
          <w:noProof/>
        </w:rPr>
        <w:t>off-shore</w:t>
      </w:r>
      <w:r>
        <w:rPr>
          <w:rFonts w:ascii="Calisto MT" w:hAnsi="Calisto MT" w:cs="Arial"/>
          <w:noProof/>
        </w:rPr>
        <w:t>, aunque esto último debería lidiar quizás también contra la inconstitucionalidad del último párrafo del artículo 165.XIII.1 de la reglamentación del impuesto a las ganancias y del artículo 28 de la del IBP –.</w:t>
      </w:r>
    </w:p>
    <w:p w:rsidR="00577BA4" w:rsidRDefault="00577BA4" w:rsidP="00877545">
      <w:pPr>
        <w:pStyle w:val="BodyText"/>
        <w:rPr>
          <w:rFonts w:ascii="Calisto MT" w:hAnsi="Calisto MT" w:cs="Arial"/>
          <w:noProof/>
        </w:rPr>
      </w:pPr>
    </w:p>
    <w:p w:rsidR="00577BA4" w:rsidRPr="00877545" w:rsidRDefault="00577BA4" w:rsidP="00877545">
      <w:pPr>
        <w:pStyle w:val="BodyText"/>
        <w:rPr>
          <w:rFonts w:ascii="Calisto MT" w:hAnsi="Calisto MT" w:cs="Arial"/>
          <w:noProof/>
        </w:rPr>
      </w:pPr>
      <w:r>
        <w:rPr>
          <w:rFonts w:ascii="Calisto MT" w:hAnsi="Calisto MT" w:cs="Arial"/>
          <w:noProof/>
        </w:rPr>
        <w:t>Ahora bien, con relación a este último supuesto, en donde claramente se procura que un sujeto obligado al impuesto no tribute doblemente frente al Fisco argentino vía, en primer término, el impuesto que ingrese quien  tenga la administración o custodia de los bienes en Argentina de la sociedad del exterior y, luego, sobre la participación accionaria en aquella sociedad, sí pareciera razonable aplicar supletoriamente las previsiones del primer artículo incorporado a continuación del 165.XIII de la reglamentación del impuesto a las ganancias para que esta pretensión no se vea desvirtuada por el mero hecho de que,en lugar de una sociedad del exterior haya dos entre el individuo argentino y el bien en Argentina.</w:t>
      </w:r>
    </w:p>
    <w:p w:rsidR="00577BA4" w:rsidRDefault="00577BA4" w:rsidP="000F7A69">
      <w:pPr>
        <w:pStyle w:val="NormalWeb"/>
        <w:spacing w:before="0" w:after="0"/>
        <w:ind w:left="0"/>
        <w:jc w:val="both"/>
        <w:rPr>
          <w:rFonts w:ascii="Verdana" w:hAnsi="Verdana"/>
        </w:rPr>
      </w:pPr>
    </w:p>
    <w:p w:rsidR="00577BA4" w:rsidRDefault="00577BA4" w:rsidP="000F7A69">
      <w:pPr>
        <w:pStyle w:val="NormalWeb"/>
        <w:spacing w:before="0" w:after="0"/>
        <w:ind w:left="0"/>
        <w:jc w:val="both"/>
        <w:rPr>
          <w:rFonts w:ascii="Verdana" w:hAnsi="Verdana"/>
        </w:rPr>
      </w:pPr>
    </w:p>
    <w:p w:rsidR="00577BA4" w:rsidRDefault="00577BA4" w:rsidP="007C1F1F">
      <w:pPr>
        <w:pStyle w:val="BodyText"/>
        <w:numPr>
          <w:ilvl w:val="0"/>
          <w:numId w:val="3"/>
        </w:numPr>
        <w:spacing w:after="200"/>
        <w:ind w:left="426"/>
        <w:rPr>
          <w:rFonts w:ascii="Calisto MT" w:hAnsi="Calisto MT" w:cs="Arial"/>
          <w:b/>
          <w:noProof/>
        </w:rPr>
      </w:pPr>
      <w:r>
        <w:rPr>
          <w:rFonts w:ascii="Calisto MT" w:hAnsi="Calisto MT" w:cs="Arial"/>
          <w:b/>
          <w:noProof/>
        </w:rPr>
        <w:t>Valor impositivo de participaciones en sociedades. Concepto de Valor Patrimonial Proporcional.</w:t>
      </w:r>
    </w:p>
    <w:p w:rsidR="00577BA4" w:rsidRDefault="00577BA4" w:rsidP="007C1F1F">
      <w:pPr>
        <w:pStyle w:val="BodyText"/>
        <w:numPr>
          <w:ilvl w:val="0"/>
          <w:numId w:val="2"/>
        </w:numPr>
        <w:spacing w:after="200"/>
        <w:ind w:left="851" w:hanging="425"/>
        <w:rPr>
          <w:rFonts w:ascii="Calisto MT" w:hAnsi="Calisto MT" w:cs="Arial"/>
          <w:b/>
          <w:noProof/>
        </w:rPr>
      </w:pPr>
      <w:r>
        <w:rPr>
          <w:rFonts w:ascii="Calisto MT" w:hAnsi="Calisto MT" w:cs="Arial"/>
          <w:b/>
          <w:noProof/>
        </w:rPr>
        <w:t>Con balance de publicación (concepto de balance)</w:t>
      </w:r>
    </w:p>
    <w:p w:rsidR="00577BA4" w:rsidRDefault="00577BA4" w:rsidP="007C1F1F">
      <w:pPr>
        <w:pStyle w:val="BodyText"/>
        <w:numPr>
          <w:ilvl w:val="0"/>
          <w:numId w:val="2"/>
        </w:numPr>
        <w:spacing w:after="200"/>
        <w:ind w:left="851" w:hanging="425"/>
        <w:rPr>
          <w:rFonts w:ascii="Calisto MT" w:hAnsi="Calisto MT" w:cs="Arial"/>
          <w:b/>
          <w:noProof/>
        </w:rPr>
      </w:pPr>
      <w:r>
        <w:rPr>
          <w:rFonts w:ascii="Calisto MT" w:hAnsi="Calisto MT" w:cs="Arial"/>
          <w:b/>
          <w:noProof/>
        </w:rPr>
        <w:t>Sin balance de publicación</w:t>
      </w:r>
    </w:p>
    <w:p w:rsidR="00577BA4" w:rsidRDefault="00577BA4" w:rsidP="007C1F1F">
      <w:pPr>
        <w:pStyle w:val="BodyText"/>
        <w:numPr>
          <w:ilvl w:val="0"/>
          <w:numId w:val="2"/>
        </w:numPr>
        <w:spacing w:after="200"/>
        <w:ind w:left="851" w:hanging="425"/>
        <w:rPr>
          <w:rFonts w:ascii="Calisto MT" w:hAnsi="Calisto MT" w:cs="Arial"/>
          <w:b/>
          <w:noProof/>
        </w:rPr>
      </w:pPr>
      <w:r>
        <w:rPr>
          <w:rFonts w:ascii="Calisto MT" w:hAnsi="Calisto MT" w:cs="Arial"/>
          <w:b/>
          <w:noProof/>
        </w:rPr>
        <w:t xml:space="preserve">Casos en que puede determinarse un valor de mercado (p.ej. operaciones testigo de venta de otras participaciones a terceros) </w:t>
      </w:r>
    </w:p>
    <w:p w:rsidR="00577BA4" w:rsidRDefault="00577BA4" w:rsidP="00772493">
      <w:pPr>
        <w:pStyle w:val="BodyText"/>
        <w:rPr>
          <w:rFonts w:ascii="Calisto MT" w:hAnsi="Calisto MT" w:cs="Arial"/>
          <w:noProof/>
        </w:rPr>
      </w:pPr>
      <w:r>
        <w:rPr>
          <w:rFonts w:ascii="Calisto MT" w:hAnsi="Calisto MT" w:cs="Arial"/>
          <w:noProof/>
        </w:rPr>
        <w:t>El artículo</w:t>
      </w:r>
      <w:r w:rsidRPr="006B69D6">
        <w:rPr>
          <w:rFonts w:ascii="Calisto MT" w:hAnsi="Calisto MT" w:cs="Arial"/>
          <w:noProof/>
        </w:rPr>
        <w:t xml:space="preserve"> 22</w:t>
      </w:r>
      <w:r>
        <w:rPr>
          <w:rFonts w:ascii="Calisto MT" w:hAnsi="Calisto MT" w:cs="Arial"/>
          <w:noProof/>
        </w:rPr>
        <w:t>,</w:t>
      </w:r>
      <w:r w:rsidRPr="006B69D6">
        <w:rPr>
          <w:rFonts w:ascii="Calisto MT" w:hAnsi="Calisto MT" w:cs="Arial"/>
          <w:noProof/>
        </w:rPr>
        <w:t xml:space="preserve"> inciso h)</w:t>
      </w:r>
      <w:r>
        <w:rPr>
          <w:rFonts w:ascii="Calisto MT" w:hAnsi="Calisto MT" w:cs="Arial"/>
          <w:noProof/>
        </w:rPr>
        <w:t xml:space="preserve"> de la ley del IBP dispone que, c</w:t>
      </w:r>
      <w:r w:rsidRPr="006B69D6">
        <w:rPr>
          <w:rFonts w:ascii="Calisto MT" w:hAnsi="Calisto MT" w:cs="Arial"/>
          <w:noProof/>
        </w:rPr>
        <w:t>uando se trate de acciones se imputarán al valor patrimonial proporcional que surja del último balance cerrado al 31 de diciembre del ejercicio que se liquida</w:t>
      </w:r>
      <w:r>
        <w:rPr>
          <w:rFonts w:ascii="Calisto MT" w:hAnsi="Calisto MT" w:cs="Arial"/>
          <w:noProof/>
        </w:rPr>
        <w:t xml:space="preserve">, delegando en la reglamentación </w:t>
      </w:r>
      <w:r w:rsidRPr="006B69D6">
        <w:rPr>
          <w:rFonts w:ascii="Calisto MT" w:hAnsi="Calisto MT" w:cs="Arial"/>
          <w:noProof/>
        </w:rPr>
        <w:t>la forma de computar los aumentos y/o disminuciones de capital que se hubieran producido entre la fecha de cierre de la sociedad emisora y el 31 de diciembre del año respectivo.</w:t>
      </w:r>
    </w:p>
    <w:p w:rsidR="00577BA4" w:rsidRDefault="00577BA4" w:rsidP="00772493">
      <w:pPr>
        <w:pStyle w:val="BodyText"/>
        <w:rPr>
          <w:rFonts w:ascii="Calisto MT" w:hAnsi="Calisto MT" w:cs="Arial"/>
          <w:noProof/>
        </w:rPr>
      </w:pPr>
    </w:p>
    <w:p w:rsidR="00577BA4" w:rsidRPr="00D04F8B" w:rsidRDefault="00577BA4" w:rsidP="00772493">
      <w:pPr>
        <w:pStyle w:val="BodyText"/>
        <w:rPr>
          <w:rFonts w:ascii="Calisto MT" w:hAnsi="Calisto MT" w:cs="Arial"/>
          <w:noProof/>
        </w:rPr>
      </w:pPr>
      <w:r>
        <w:rPr>
          <w:rFonts w:ascii="Calisto MT" w:hAnsi="Calisto MT" w:cs="Arial"/>
          <w:noProof/>
        </w:rPr>
        <w:t>El DR dispone que l</w:t>
      </w:r>
      <w:r w:rsidRPr="00D04F8B">
        <w:rPr>
          <w:rFonts w:ascii="Calisto MT" w:hAnsi="Calisto MT" w:cs="Arial"/>
          <w:noProof/>
        </w:rPr>
        <w:t>a valuación de la titularidad en empresas o explotaciones unipersonales, se determinará en función del capital de las mismas que surja de la diferencia entre el activo y el pasivo al 31 de diciembre del año respectivo, disminuido en el monto de las acciones y participaciones en el capital de cualquier tipo de sociedades regidas por la Ley N° 19.550, texto ordenado en 1984 y sus modificaciones, efectivamente afectadas a la empresa o explotación, alcanzadas por el pago único y definitivo establecido en el artículo incorporado sin número a continuación del artículo 25 de la Ley.</w:t>
      </w:r>
    </w:p>
    <w:p w:rsidR="00577BA4" w:rsidRDefault="00577BA4" w:rsidP="00772493">
      <w:pPr>
        <w:pStyle w:val="BodyText"/>
        <w:rPr>
          <w:rFonts w:ascii="Calisto MT" w:hAnsi="Calisto MT" w:cs="Arial"/>
          <w:noProof/>
        </w:rPr>
      </w:pPr>
    </w:p>
    <w:p w:rsidR="00577BA4" w:rsidRPr="00D04F8B" w:rsidRDefault="00577BA4" w:rsidP="00772493">
      <w:pPr>
        <w:pStyle w:val="BodyText"/>
        <w:rPr>
          <w:rFonts w:ascii="Calisto MT" w:hAnsi="Calisto MT" w:cs="Arial"/>
          <w:noProof/>
        </w:rPr>
      </w:pPr>
      <w:r w:rsidRPr="00D04F8B">
        <w:rPr>
          <w:rFonts w:ascii="Calisto MT" w:hAnsi="Calisto MT" w:cs="Arial"/>
          <w:noProof/>
        </w:rPr>
        <w:t>Al valor así determinado se le sumará o restará, respectivamente, el saldo acreedor o deudor de la cuenta particular del titular al 31 de diciembre del año por el que se efectúe la liquidación del gravamen, sin considerar los créditos provenientes de la acreditación de utilidades que hubieran sido tenidas en cuenta para la determinación del valor de la titularidad a la fecha de cierre del ejercicio considerado, ni los saldos provenientes de operaciones efectuadas con la empresa o explotación en condiciones similares a las que pudiesen pactarse entre partes independientes, debiendo considerarse estos últimos como créditos o deudas, según corresponda.</w:t>
      </w:r>
    </w:p>
    <w:p w:rsidR="00577BA4" w:rsidRDefault="00577BA4" w:rsidP="00772493">
      <w:pPr>
        <w:pStyle w:val="BodyText"/>
        <w:rPr>
          <w:rFonts w:ascii="Calisto MT" w:hAnsi="Calisto MT" w:cs="Arial"/>
          <w:noProof/>
        </w:rPr>
      </w:pPr>
    </w:p>
    <w:p w:rsidR="00577BA4" w:rsidRPr="00D04F8B" w:rsidRDefault="00577BA4" w:rsidP="00772493">
      <w:pPr>
        <w:pStyle w:val="BodyText"/>
        <w:rPr>
          <w:rFonts w:ascii="Calisto MT" w:hAnsi="Calisto MT" w:cs="Arial"/>
          <w:noProof/>
        </w:rPr>
      </w:pPr>
      <w:r w:rsidRPr="00D04F8B">
        <w:rPr>
          <w:rFonts w:ascii="Calisto MT" w:hAnsi="Calisto MT" w:cs="Arial"/>
          <w:noProof/>
        </w:rPr>
        <w:t>Los titulares de empresas o explotaciones unipersonales, que confeccionen balances en forma comercial, computarán como aumentos los aportes de capital que realicen entre la fecha de cierre del ejercicio comercial y el 31 de diciembre del período fiscal que se liquida, y como disminuciones los retiros de utilidades que efectúen en el mismo lapso, cualquiera fuera el ejercicio comercial en el que se hubieren generado.</w:t>
      </w:r>
    </w:p>
    <w:p w:rsidR="00577BA4" w:rsidRDefault="00577BA4" w:rsidP="00772493">
      <w:pPr>
        <w:pStyle w:val="BodyText"/>
        <w:rPr>
          <w:rFonts w:ascii="Calisto MT" w:hAnsi="Calisto MT" w:cs="Arial"/>
          <w:noProof/>
        </w:rPr>
      </w:pPr>
    </w:p>
    <w:p w:rsidR="00577BA4" w:rsidRPr="00D04F8B" w:rsidRDefault="00577BA4" w:rsidP="00772493">
      <w:pPr>
        <w:pStyle w:val="BodyText"/>
        <w:rPr>
          <w:rFonts w:ascii="Calisto MT" w:hAnsi="Calisto MT" w:cs="Arial"/>
          <w:noProof/>
        </w:rPr>
      </w:pPr>
      <w:r w:rsidRPr="00D04F8B">
        <w:rPr>
          <w:rFonts w:ascii="Calisto MT" w:hAnsi="Calisto MT" w:cs="Arial"/>
          <w:noProof/>
        </w:rPr>
        <w:t>Cuando el patrimonio neto de la sociedad al cierre del ejercicio considerado para la liquidación del impuesto contenga aportes de capital, incluidos los irrevocables para la futura integración de acciones, los mismos deberán detraerse de la base imponible definida precedentemente, en el monto que corresponda a titulares de acciones o participaciones que no resultan comprendidas en la liquidación del gravamen prevista en el artículo incorporado a continuación del artículo 25 de la ley.</w:t>
      </w:r>
    </w:p>
    <w:p w:rsidR="00577BA4" w:rsidRDefault="00577BA4" w:rsidP="00772493">
      <w:pPr>
        <w:pStyle w:val="BodyText"/>
        <w:rPr>
          <w:rFonts w:ascii="Calisto MT" w:hAnsi="Calisto MT" w:cs="Arial"/>
          <w:noProof/>
        </w:rPr>
      </w:pPr>
    </w:p>
    <w:p w:rsidR="00577BA4" w:rsidRPr="00862548" w:rsidRDefault="00577BA4" w:rsidP="00772493">
      <w:pPr>
        <w:pStyle w:val="BodyText"/>
        <w:rPr>
          <w:rFonts w:ascii="Calisto MT" w:hAnsi="Calisto MT" w:cs="Arial"/>
          <w:noProof/>
        </w:rPr>
      </w:pPr>
      <w:r w:rsidRPr="00862548">
        <w:rPr>
          <w:rFonts w:ascii="Calisto MT" w:hAnsi="Calisto MT" w:cs="Arial"/>
          <w:noProof/>
        </w:rPr>
        <w:t>El capital</w:t>
      </w:r>
      <w:r>
        <w:rPr>
          <w:rFonts w:ascii="Calisto MT" w:hAnsi="Calisto MT" w:cs="Arial"/>
          <w:noProof/>
        </w:rPr>
        <w:t xml:space="preserve"> o patrimonio</w:t>
      </w:r>
      <w:r w:rsidRPr="00862548">
        <w:rPr>
          <w:rFonts w:ascii="Calisto MT" w:hAnsi="Calisto MT" w:cs="Arial"/>
          <w:noProof/>
        </w:rPr>
        <w:t xml:space="preserve"> (activo menos pasivo) que debe considerarse a los efectos de determinar la titularidad o, en su caso, el pago único y definitivo, correspondientes a las empresas o explotaciones unipersonales y sociedades que no lleven registraciones que les permita confeccionar balances en forma comercial, se determinará valuando el activo de acuerdo con las disposiciones establecidas en el artículo 4° de la Ley de Impuesto a la Ganancia Mínima Presunta, sin computar a dichos efectos la reducción prevista</w:t>
      </w:r>
      <w:r>
        <w:rPr>
          <w:rFonts w:ascii="Calisto MT" w:hAnsi="Calisto MT" w:cs="Arial"/>
          <w:noProof/>
        </w:rPr>
        <w:t xml:space="preserve"> para inmuebles rurales (25% del avalúo fiscal)</w:t>
      </w:r>
      <w:r w:rsidRPr="00862548">
        <w:rPr>
          <w:rFonts w:ascii="Calisto MT" w:hAnsi="Calisto MT" w:cs="Arial"/>
          <w:noProof/>
        </w:rPr>
        <w:t>.</w:t>
      </w:r>
    </w:p>
    <w:p w:rsidR="00577BA4" w:rsidRDefault="00577BA4" w:rsidP="00772493">
      <w:pPr>
        <w:pStyle w:val="BodyText"/>
        <w:rPr>
          <w:rFonts w:ascii="Calisto MT" w:hAnsi="Calisto MT" w:cs="Arial"/>
          <w:noProof/>
        </w:rPr>
      </w:pPr>
    </w:p>
    <w:p w:rsidR="00577BA4" w:rsidRDefault="00577BA4" w:rsidP="00772493">
      <w:pPr>
        <w:pStyle w:val="BodyText"/>
        <w:rPr>
          <w:rFonts w:ascii="Calisto MT" w:hAnsi="Calisto MT" w:cs="Arial"/>
          <w:noProof/>
        </w:rPr>
      </w:pPr>
      <w:r>
        <w:rPr>
          <w:rFonts w:ascii="Calisto MT" w:hAnsi="Calisto MT" w:cs="Arial"/>
          <w:noProof/>
        </w:rPr>
        <w:t>Con relación a los bienes en el exterior, el artículo 23 dispone que l</w:t>
      </w:r>
      <w:r w:rsidRPr="0034425C">
        <w:rPr>
          <w:rFonts w:ascii="Calisto MT" w:hAnsi="Calisto MT" w:cs="Arial"/>
          <w:noProof/>
        </w:rPr>
        <w:t xml:space="preserve">os títulos valores que no coticen en </w:t>
      </w:r>
      <w:r>
        <w:rPr>
          <w:rFonts w:ascii="Calisto MT" w:hAnsi="Calisto MT" w:cs="Arial"/>
          <w:noProof/>
        </w:rPr>
        <w:t>bolsas o mercados del exterior se valuarán con arreglo al mecanismo para similares bienes en el país.</w:t>
      </w:r>
    </w:p>
    <w:p w:rsidR="00577BA4" w:rsidRDefault="00577BA4" w:rsidP="00772493">
      <w:pPr>
        <w:pStyle w:val="BodyText"/>
        <w:rPr>
          <w:rFonts w:ascii="Calisto MT" w:hAnsi="Calisto MT" w:cs="Arial"/>
          <w:noProof/>
        </w:rPr>
      </w:pPr>
    </w:p>
    <w:p w:rsidR="00577BA4" w:rsidRPr="006B69D6" w:rsidRDefault="00577BA4" w:rsidP="00772493">
      <w:pPr>
        <w:pStyle w:val="BodyText"/>
        <w:rPr>
          <w:rFonts w:ascii="Calisto MT" w:hAnsi="Calisto MT" w:cs="Arial"/>
          <w:noProof/>
        </w:rPr>
      </w:pPr>
      <w:r>
        <w:rPr>
          <w:rFonts w:ascii="Calisto MT" w:hAnsi="Calisto MT" w:cs="Arial"/>
          <w:noProof/>
        </w:rPr>
        <w:t>De lo anterior, se colige que n</w:t>
      </w:r>
      <w:r w:rsidRPr="006B69D6">
        <w:rPr>
          <w:rFonts w:ascii="Calisto MT" w:hAnsi="Calisto MT" w:cs="Arial"/>
          <w:noProof/>
        </w:rPr>
        <w:t xml:space="preserve">o parece razonable que </w:t>
      </w:r>
      <w:r>
        <w:rPr>
          <w:rFonts w:ascii="Calisto MT" w:hAnsi="Calisto MT" w:cs="Arial"/>
          <w:noProof/>
        </w:rPr>
        <w:t xml:space="preserve">eventuales </w:t>
      </w:r>
      <w:r w:rsidRPr="006B69D6">
        <w:rPr>
          <w:rFonts w:ascii="Calisto MT" w:hAnsi="Calisto MT" w:cs="Arial"/>
          <w:noProof/>
        </w:rPr>
        <w:t>“operaciones testigo”</w:t>
      </w:r>
      <w:r>
        <w:rPr>
          <w:rFonts w:ascii="Calisto MT" w:hAnsi="Calisto MT" w:cs="Arial"/>
          <w:noProof/>
        </w:rPr>
        <w:t xml:space="preserve"> que insinúen un valor de mercado de este tipo de activos</w:t>
      </w:r>
      <w:r w:rsidRPr="006B69D6">
        <w:rPr>
          <w:rFonts w:ascii="Calisto MT" w:hAnsi="Calisto MT" w:cs="Arial"/>
          <w:noProof/>
        </w:rPr>
        <w:t xml:space="preserve"> condicionen a someter a imposición como integrante del patrimonio</w:t>
      </w:r>
      <w:r>
        <w:rPr>
          <w:rFonts w:ascii="Calisto MT" w:hAnsi="Calisto MT" w:cs="Arial"/>
          <w:noProof/>
        </w:rPr>
        <w:t xml:space="preserve"> personal</w:t>
      </w:r>
      <w:r w:rsidRPr="006B69D6">
        <w:rPr>
          <w:rFonts w:ascii="Calisto MT" w:hAnsi="Calisto MT" w:cs="Arial"/>
          <w:noProof/>
        </w:rPr>
        <w:t xml:space="preserve"> una ganancia de capital “latente” no realizada.</w:t>
      </w:r>
      <w:r>
        <w:rPr>
          <w:rFonts w:ascii="Calisto MT" w:hAnsi="Calisto MT" w:cs="Arial"/>
          <w:noProof/>
        </w:rPr>
        <w:t xml:space="preserve"> Esto sin perjuicio de no haber una norma clara que permita ignorar estados contables eventualmente emitidos bajo normas internacionales (i.e. IFRS)</w:t>
      </w:r>
    </w:p>
    <w:p w:rsidR="00577BA4" w:rsidRDefault="00577BA4" w:rsidP="00E45EEC">
      <w:pPr>
        <w:pStyle w:val="BodyText"/>
        <w:spacing w:after="200"/>
        <w:ind w:left="426"/>
        <w:rPr>
          <w:rFonts w:ascii="Calisto MT" w:hAnsi="Calisto MT" w:cs="Arial"/>
          <w:b/>
          <w:noProof/>
        </w:rPr>
      </w:pPr>
    </w:p>
    <w:p w:rsidR="00577BA4" w:rsidRDefault="00577BA4" w:rsidP="0047114A">
      <w:pPr>
        <w:pStyle w:val="BodyText"/>
        <w:numPr>
          <w:ilvl w:val="0"/>
          <w:numId w:val="3"/>
        </w:numPr>
        <w:spacing w:after="200"/>
        <w:ind w:left="426"/>
        <w:rPr>
          <w:rFonts w:ascii="Calisto MT" w:hAnsi="Calisto MT" w:cs="Arial"/>
          <w:b/>
          <w:noProof/>
        </w:rPr>
      </w:pPr>
      <w:r>
        <w:rPr>
          <w:rFonts w:ascii="Calisto MT" w:hAnsi="Calisto MT" w:cs="Arial"/>
          <w:b/>
          <w:noProof/>
        </w:rPr>
        <w:t>Casos particulares derivados del régimen de sinceramiento instaurado por la Ley 27.260</w:t>
      </w:r>
    </w:p>
    <w:p w:rsidR="00577BA4" w:rsidRPr="00772493" w:rsidRDefault="00577BA4" w:rsidP="00772493">
      <w:pPr>
        <w:pStyle w:val="BodyText"/>
        <w:numPr>
          <w:ilvl w:val="0"/>
          <w:numId w:val="5"/>
        </w:numPr>
        <w:ind w:left="709" w:hanging="425"/>
        <w:rPr>
          <w:rFonts w:ascii="Calisto MT" w:hAnsi="Calisto MT" w:cs="Arial"/>
          <w:noProof/>
        </w:rPr>
      </w:pPr>
      <w:r>
        <w:rPr>
          <w:rFonts w:ascii="Calisto MT" w:hAnsi="Calisto MT" w:cs="Arial"/>
          <w:b/>
          <w:noProof/>
        </w:rPr>
        <w:t xml:space="preserve">Criterios de amortización de inmuebles, automóviles, etc. sobre los valores </w:t>
      </w:r>
      <w:r w:rsidRPr="00772493">
        <w:rPr>
          <w:rFonts w:ascii="Calisto MT" w:hAnsi="Calisto MT" w:cs="Arial"/>
          <w:b/>
          <w:noProof/>
        </w:rPr>
        <w:t>declarados en el régimen de sinceramiento fiscal (valores de incorporación)</w:t>
      </w:r>
    </w:p>
    <w:p w:rsidR="00577BA4" w:rsidRDefault="00577BA4" w:rsidP="00772493">
      <w:pPr>
        <w:pStyle w:val="BodyText"/>
        <w:rPr>
          <w:rFonts w:ascii="Calisto MT" w:hAnsi="Calisto MT" w:cs="Arial"/>
          <w:noProof/>
        </w:rPr>
      </w:pPr>
    </w:p>
    <w:p w:rsidR="00577BA4" w:rsidRDefault="00577BA4" w:rsidP="00772493">
      <w:pPr>
        <w:pStyle w:val="BodyText"/>
        <w:rPr>
          <w:rFonts w:ascii="Calisto MT" w:hAnsi="Calisto MT" w:cs="Arial"/>
          <w:noProof/>
        </w:rPr>
      </w:pPr>
      <w:r w:rsidRPr="00772493">
        <w:rPr>
          <w:rFonts w:ascii="Calisto MT" w:hAnsi="Calisto MT" w:cs="Arial"/>
          <w:noProof/>
        </w:rPr>
        <w:t>La valu</w:t>
      </w:r>
      <w:r w:rsidRPr="00E45EEC">
        <w:rPr>
          <w:rFonts w:ascii="Calisto MT" w:hAnsi="Calisto MT" w:cs="Arial"/>
          <w:noProof/>
        </w:rPr>
        <w:t xml:space="preserve">ación de los bienes y tenencias de moneda practicada en los términos del artículo 40 </w:t>
      </w:r>
    </w:p>
    <w:p w:rsidR="00577BA4" w:rsidRDefault="00577BA4" w:rsidP="00772493">
      <w:pPr>
        <w:pStyle w:val="BodyText"/>
        <w:rPr>
          <w:rFonts w:ascii="Calisto MT" w:hAnsi="Calisto MT" w:cs="Arial"/>
          <w:noProof/>
        </w:rPr>
      </w:pPr>
      <w:r w:rsidRPr="00E45EEC">
        <w:rPr>
          <w:rFonts w:ascii="Calisto MT" w:hAnsi="Calisto MT" w:cs="Arial"/>
          <w:noProof/>
        </w:rPr>
        <w:t>de la Ley 27.260, constituye, a todos los efectos fiscales, el valor de incorporación al patrimonio del declarante.</w:t>
      </w:r>
    </w:p>
    <w:p w:rsidR="00577BA4" w:rsidRPr="00E45EEC" w:rsidRDefault="00577BA4" w:rsidP="00772493">
      <w:pPr>
        <w:pStyle w:val="BodyText"/>
        <w:rPr>
          <w:rFonts w:ascii="Calisto MT" w:hAnsi="Calisto MT" w:cs="Arial"/>
          <w:noProof/>
        </w:rPr>
      </w:pPr>
    </w:p>
    <w:p w:rsidR="00577BA4" w:rsidRDefault="00577BA4" w:rsidP="00772493">
      <w:pPr>
        <w:pStyle w:val="BodyText"/>
        <w:rPr>
          <w:rFonts w:ascii="Calisto MT" w:hAnsi="Calisto MT" w:cs="Arial"/>
          <w:noProof/>
        </w:rPr>
      </w:pPr>
      <w:r>
        <w:rPr>
          <w:rFonts w:ascii="Calisto MT" w:hAnsi="Calisto MT" w:cs="Arial"/>
          <w:noProof/>
        </w:rPr>
        <w:t>Se considera como fe</w:t>
      </w:r>
      <w:r w:rsidRPr="00E45EEC">
        <w:rPr>
          <w:rFonts w:ascii="Calisto MT" w:hAnsi="Calisto MT" w:cs="Arial"/>
          <w:noProof/>
        </w:rPr>
        <w:t xml:space="preserve">cha y valor de origen </w:t>
      </w:r>
      <w:r>
        <w:rPr>
          <w:rFonts w:ascii="Calisto MT" w:hAnsi="Calisto MT" w:cs="Arial"/>
          <w:noProof/>
        </w:rPr>
        <w:t xml:space="preserve">el consignado al 22/7/2016. Si bien  este precepto está expresamente referenciado </w:t>
      </w:r>
      <w:r w:rsidRPr="00E45EEC">
        <w:rPr>
          <w:rFonts w:ascii="Calisto MT" w:hAnsi="Calisto MT" w:cs="Arial"/>
          <w:noProof/>
        </w:rPr>
        <w:t xml:space="preserve">para inmuebles, razonablemente </w:t>
      </w:r>
      <w:r>
        <w:rPr>
          <w:rFonts w:ascii="Calisto MT" w:hAnsi="Calisto MT" w:cs="Arial"/>
          <w:noProof/>
        </w:rPr>
        <w:t xml:space="preserve">aplica </w:t>
      </w:r>
      <w:r w:rsidRPr="00E45EEC">
        <w:rPr>
          <w:rFonts w:ascii="Calisto MT" w:hAnsi="Calisto MT" w:cs="Arial"/>
          <w:noProof/>
        </w:rPr>
        <w:t>para todo</w:t>
      </w:r>
      <w:r>
        <w:rPr>
          <w:rFonts w:ascii="Calisto MT" w:hAnsi="Calisto MT" w:cs="Arial"/>
          <w:noProof/>
        </w:rPr>
        <w:t>s los bienes tomándose como inicio de su vida útil tal fecha.</w:t>
      </w:r>
    </w:p>
    <w:p w:rsidR="00577BA4" w:rsidRDefault="00577BA4" w:rsidP="00772493">
      <w:pPr>
        <w:pStyle w:val="BodyText"/>
        <w:rPr>
          <w:rFonts w:ascii="Calisto MT" w:hAnsi="Calisto MT" w:cs="Arial"/>
          <w:noProof/>
        </w:rPr>
      </w:pPr>
    </w:p>
    <w:p w:rsidR="00577BA4" w:rsidRPr="00063D4A" w:rsidRDefault="00577BA4" w:rsidP="00772493">
      <w:pPr>
        <w:pStyle w:val="BodyText"/>
        <w:numPr>
          <w:ilvl w:val="0"/>
          <w:numId w:val="5"/>
        </w:numPr>
        <w:ind w:left="709" w:hanging="425"/>
        <w:rPr>
          <w:rFonts w:ascii="Calisto MT" w:hAnsi="Calisto MT" w:cs="Arial"/>
          <w:b/>
          <w:noProof/>
        </w:rPr>
      </w:pPr>
      <w:r>
        <w:rPr>
          <w:rFonts w:ascii="Calisto MT" w:hAnsi="Calisto MT" w:cs="Arial"/>
          <w:b/>
          <w:noProof/>
        </w:rPr>
        <w:t>Aplicabilidad del Valor Patrimonial Proporcional en el período fiscal 2016 y siguientes a pesar de haberse declarado la Participación para el Blanqueo según el valor de los activos (sociedades de rentas pasivas)</w:t>
      </w:r>
    </w:p>
    <w:p w:rsidR="00577BA4" w:rsidRDefault="00577BA4" w:rsidP="00772493">
      <w:pPr>
        <w:pStyle w:val="BodyText"/>
        <w:rPr>
          <w:rFonts w:ascii="Calisto MT" w:hAnsi="Calisto MT" w:cs="Arial"/>
          <w:noProof/>
        </w:rPr>
      </w:pPr>
    </w:p>
    <w:p w:rsidR="00577BA4" w:rsidRPr="00BE70C0" w:rsidRDefault="00577BA4" w:rsidP="00772493">
      <w:pPr>
        <w:pStyle w:val="BodyText"/>
        <w:rPr>
          <w:rFonts w:ascii="Calisto MT" w:hAnsi="Calisto MT" w:cs="Arial"/>
          <w:noProof/>
        </w:rPr>
      </w:pPr>
      <w:r w:rsidRPr="00BE70C0">
        <w:rPr>
          <w:rFonts w:ascii="Calisto MT" w:hAnsi="Calisto MT" w:cs="Arial"/>
          <w:noProof/>
        </w:rPr>
        <w:t>S</w:t>
      </w:r>
      <w:r>
        <w:rPr>
          <w:rFonts w:ascii="Calisto MT" w:hAnsi="Calisto MT" w:cs="Arial"/>
          <w:noProof/>
        </w:rPr>
        <w:t>in perjuicio del valor declarado con motivo de la exteriorización de acciones extranjeras (activos) s</w:t>
      </w:r>
      <w:r w:rsidRPr="00BE70C0">
        <w:rPr>
          <w:rFonts w:ascii="Calisto MT" w:hAnsi="Calisto MT" w:cs="Arial"/>
          <w:noProof/>
        </w:rPr>
        <w:t>e retoma el conce</w:t>
      </w:r>
      <w:r>
        <w:rPr>
          <w:rFonts w:ascii="Calisto MT" w:hAnsi="Calisto MT" w:cs="Arial"/>
          <w:noProof/>
        </w:rPr>
        <w:t>pto de Valor Patrimonial Proporcional a partir del 31/12/2016.</w:t>
      </w:r>
    </w:p>
    <w:p w:rsidR="00577BA4" w:rsidRDefault="00577BA4" w:rsidP="00772493">
      <w:pPr>
        <w:pStyle w:val="BodyText"/>
        <w:ind w:left="709"/>
        <w:rPr>
          <w:rFonts w:ascii="Calisto MT" w:hAnsi="Calisto MT" w:cs="Arial"/>
          <w:b/>
          <w:noProof/>
        </w:rPr>
      </w:pPr>
    </w:p>
    <w:p w:rsidR="00577BA4" w:rsidRPr="00DE695C" w:rsidRDefault="00577BA4" w:rsidP="00772493">
      <w:pPr>
        <w:pStyle w:val="BodyText"/>
        <w:numPr>
          <w:ilvl w:val="0"/>
          <w:numId w:val="5"/>
        </w:numPr>
        <w:ind w:left="709" w:hanging="425"/>
        <w:rPr>
          <w:rFonts w:ascii="Calisto MT" w:hAnsi="Calisto MT" w:cs="Arial"/>
          <w:b/>
          <w:noProof/>
        </w:rPr>
      </w:pPr>
      <w:r w:rsidRPr="00DE695C">
        <w:rPr>
          <w:rFonts w:ascii="Calisto MT" w:hAnsi="Calisto MT" w:cs="Arial"/>
          <w:b/>
          <w:noProof/>
        </w:rPr>
        <w:t>Problemas que presenta el criterio de transparencia o desconocimiento fiscal de la Socieda</w:t>
      </w:r>
      <w:r>
        <w:rPr>
          <w:rFonts w:ascii="Calisto MT" w:hAnsi="Calisto MT" w:cs="Arial"/>
          <w:b/>
          <w:noProof/>
        </w:rPr>
        <w:t>d (o la cadena de Sociedades) con motivo del sinceramiento</w:t>
      </w:r>
    </w:p>
    <w:p w:rsidR="00577BA4" w:rsidRDefault="00577BA4" w:rsidP="00772493">
      <w:pPr>
        <w:pStyle w:val="BodyText"/>
        <w:spacing w:after="200"/>
        <w:ind w:left="426"/>
        <w:rPr>
          <w:rFonts w:ascii="Calisto MT" w:hAnsi="Calisto MT" w:cs="Arial"/>
          <w:b/>
          <w:noProof/>
        </w:rPr>
      </w:pPr>
    </w:p>
    <w:p w:rsidR="00577BA4" w:rsidRPr="00DE695C" w:rsidRDefault="00577BA4" w:rsidP="00AC5FE1">
      <w:pPr>
        <w:pStyle w:val="BodyText"/>
        <w:numPr>
          <w:ilvl w:val="0"/>
          <w:numId w:val="6"/>
        </w:numPr>
        <w:spacing w:after="200"/>
        <w:ind w:left="426" w:hanging="425"/>
        <w:rPr>
          <w:rFonts w:ascii="Calisto MT" w:hAnsi="Calisto MT" w:cs="Arial"/>
          <w:b/>
          <w:noProof/>
        </w:rPr>
      </w:pPr>
      <w:r w:rsidRPr="00DE695C">
        <w:rPr>
          <w:rFonts w:ascii="Calisto MT" w:hAnsi="Calisto MT" w:cs="Arial"/>
          <w:b/>
          <w:noProof/>
        </w:rPr>
        <w:t>Determinación de</w:t>
      </w:r>
      <w:r>
        <w:rPr>
          <w:rFonts w:ascii="Calisto MT" w:hAnsi="Calisto MT" w:cs="Arial"/>
          <w:b/>
          <w:noProof/>
        </w:rPr>
        <w:t>l valor de la Participación en</w:t>
      </w:r>
      <w:r w:rsidRPr="00DE695C">
        <w:rPr>
          <w:rFonts w:ascii="Calisto MT" w:hAnsi="Calisto MT" w:cs="Arial"/>
          <w:b/>
          <w:noProof/>
        </w:rPr>
        <w:t xml:space="preserve"> caso de cambio de activos (bien ex</w:t>
      </w:r>
      <w:r>
        <w:rPr>
          <w:rFonts w:ascii="Calisto MT" w:hAnsi="Calisto MT" w:cs="Arial"/>
          <w:b/>
          <w:noProof/>
        </w:rPr>
        <w:t>teriorizado por nuevo bien p</w:t>
      </w:r>
      <w:r w:rsidRPr="00DE695C">
        <w:rPr>
          <w:rFonts w:ascii="Calisto MT" w:hAnsi="Calisto MT" w:cs="Arial"/>
          <w:b/>
          <w:noProof/>
        </w:rPr>
        <w:t>o</w:t>
      </w:r>
      <w:r>
        <w:rPr>
          <w:rFonts w:ascii="Calisto MT" w:hAnsi="Calisto MT" w:cs="Arial"/>
          <w:b/>
          <w:noProof/>
        </w:rPr>
        <w:t>s</w:t>
      </w:r>
      <w:r w:rsidRPr="00DE695C">
        <w:rPr>
          <w:rFonts w:ascii="Calisto MT" w:hAnsi="Calisto MT" w:cs="Arial"/>
          <w:b/>
          <w:noProof/>
        </w:rPr>
        <w:t>blanqueo; caso de cuentas, inversiones, inmuebles, etc.)</w:t>
      </w:r>
    </w:p>
    <w:p w:rsidR="00577BA4" w:rsidRDefault="00577BA4" w:rsidP="00AC5FE1">
      <w:pPr>
        <w:pStyle w:val="BodyText"/>
        <w:spacing w:after="200"/>
        <w:rPr>
          <w:rFonts w:ascii="Calisto MT" w:hAnsi="Calisto MT" w:cs="Arial"/>
          <w:noProof/>
        </w:rPr>
      </w:pPr>
      <w:r>
        <w:rPr>
          <w:rFonts w:ascii="Calisto MT" w:hAnsi="Calisto MT" w:cs="Arial"/>
          <w:noProof/>
        </w:rPr>
        <w:t>El haber elegido la opción del artículo 39 de la Ley 27.260 obliga, de algún modo, a procurar un seguimiento del activo y d</w:t>
      </w:r>
      <w:r w:rsidRPr="00DA437F">
        <w:rPr>
          <w:rFonts w:ascii="Calisto MT" w:hAnsi="Calisto MT" w:cs="Arial"/>
          <w:noProof/>
        </w:rPr>
        <w:t>el producido</w:t>
      </w:r>
      <w:r>
        <w:rPr>
          <w:rFonts w:ascii="Calisto MT" w:hAnsi="Calisto MT" w:cs="Arial"/>
          <w:noProof/>
        </w:rPr>
        <w:t xml:space="preserve"> respectivo (sus frutos)dado que no era requerido desarmar la estructrura (como sí se exige cambio de titularidad en caso de sinceramiento por artículo 38) y continuar declarándoselo como “bien propio” detrayendo el valor que integre el VPP de la respectiva sociedad del exterior, que también debió haber sido  sincerada (y las rentas respectivas). A su vez, imputarse el resultado por sus frutos/explotación o de la venta a la persona humana argentina. </w:t>
      </w:r>
    </w:p>
    <w:p w:rsidR="00577BA4" w:rsidRDefault="00577BA4" w:rsidP="00AC5FE1">
      <w:pPr>
        <w:pStyle w:val="BodyText"/>
        <w:spacing w:after="200"/>
        <w:rPr>
          <w:rFonts w:ascii="Calisto MT" w:hAnsi="Calisto MT" w:cs="Arial"/>
          <w:noProof/>
        </w:rPr>
      </w:pPr>
      <w:r>
        <w:rPr>
          <w:rFonts w:ascii="Calisto MT" w:hAnsi="Calisto MT" w:cs="Arial"/>
          <w:noProof/>
        </w:rPr>
        <w:t>Si se tratara de inmuebles o automóviles probablemente prevalezca el concepto de “no-habitualidad” pero en caso de acciones o títulos valores se plantearía la inquietud de en qué medida corresponde la acreditación de crédito por impuestos pagados en el exterior, de existir.</w:t>
      </w:r>
    </w:p>
    <w:p w:rsidR="00577BA4" w:rsidRDefault="00577BA4" w:rsidP="00772493">
      <w:pPr>
        <w:pStyle w:val="BodyText"/>
        <w:spacing w:after="200"/>
        <w:rPr>
          <w:rFonts w:ascii="Calisto MT" w:hAnsi="Calisto MT" w:cs="Arial"/>
          <w:noProof/>
        </w:rPr>
      </w:pPr>
      <w:r>
        <w:rPr>
          <w:rFonts w:ascii="Calisto MT" w:hAnsi="Calisto MT" w:cs="Arial"/>
          <w:noProof/>
        </w:rPr>
        <w:t>La inquietud que aflora es si corresponde la incorporación de los frutos también al patrimonio del individuo (caja) o su subsumisión en el consumo y cómo se realiza el seguimiento de esos frutos(rentas) de cara a futuras distribuciones o rescates de capital para  no incorporarlos nuevamente en la materia gravada.</w:t>
      </w:r>
    </w:p>
    <w:p w:rsidR="00577BA4" w:rsidRPr="00DE695C" w:rsidRDefault="00577BA4" w:rsidP="00AC5FE1">
      <w:pPr>
        <w:pStyle w:val="BodyText"/>
        <w:numPr>
          <w:ilvl w:val="0"/>
          <w:numId w:val="6"/>
        </w:numPr>
        <w:spacing w:after="200"/>
        <w:ind w:left="426" w:hanging="425"/>
        <w:rPr>
          <w:rFonts w:ascii="Calisto MT" w:hAnsi="Calisto MT" w:cs="Arial"/>
          <w:b/>
          <w:noProof/>
        </w:rPr>
      </w:pPr>
      <w:r w:rsidRPr="00DE695C">
        <w:rPr>
          <w:rFonts w:ascii="Calisto MT" w:hAnsi="Calisto MT" w:cs="Arial"/>
          <w:b/>
          <w:noProof/>
        </w:rPr>
        <w:t>Determinación de</w:t>
      </w:r>
      <w:r>
        <w:rPr>
          <w:rFonts w:ascii="Calisto MT" w:hAnsi="Calisto MT" w:cs="Arial"/>
          <w:b/>
          <w:noProof/>
        </w:rPr>
        <w:t>l valor de la Participación en</w:t>
      </w:r>
      <w:r w:rsidRPr="00DE695C">
        <w:rPr>
          <w:rFonts w:ascii="Calisto MT" w:hAnsi="Calisto MT" w:cs="Arial"/>
          <w:b/>
          <w:noProof/>
        </w:rPr>
        <w:t xml:space="preserve"> caso </w:t>
      </w:r>
      <w:r>
        <w:rPr>
          <w:rFonts w:ascii="Calisto MT" w:hAnsi="Calisto MT" w:cs="Arial"/>
          <w:b/>
          <w:noProof/>
        </w:rPr>
        <w:t>de</w:t>
      </w:r>
      <w:r w:rsidRPr="00DE695C">
        <w:rPr>
          <w:rFonts w:ascii="Calisto MT" w:hAnsi="Calisto MT" w:cs="Arial"/>
          <w:b/>
          <w:noProof/>
        </w:rPr>
        <w:t xml:space="preserve"> nuevas capitalizaciones en la Sociedad (p.ej. por nuevos aportes, compras de acciones de otros accionistas residentes)</w:t>
      </w:r>
    </w:p>
    <w:p w:rsidR="00577BA4" w:rsidRDefault="00577BA4" w:rsidP="003726AF">
      <w:pPr>
        <w:pStyle w:val="BodyText"/>
        <w:spacing w:after="200"/>
        <w:rPr>
          <w:rFonts w:ascii="Calisto MT" w:hAnsi="Calisto MT" w:cs="Arial"/>
          <w:noProof/>
        </w:rPr>
      </w:pPr>
      <w:r>
        <w:rPr>
          <w:rFonts w:ascii="Calisto MT" w:hAnsi="Calisto MT" w:cs="Arial"/>
          <w:noProof/>
        </w:rPr>
        <w:t xml:space="preserve">Si </w:t>
      </w:r>
      <w:r w:rsidRPr="00BE70C0">
        <w:rPr>
          <w:rFonts w:ascii="Calisto MT" w:hAnsi="Calisto MT" w:cs="Arial"/>
          <w:noProof/>
        </w:rPr>
        <w:t xml:space="preserve">se vendiera la participación en la Sociedad </w:t>
      </w:r>
      <w:r>
        <w:rPr>
          <w:rFonts w:ascii="Calisto MT" w:hAnsi="Calisto MT" w:cs="Arial"/>
          <w:noProof/>
        </w:rPr>
        <w:t xml:space="preserve">“sincerada” </w:t>
      </w:r>
      <w:r w:rsidRPr="00BE70C0">
        <w:rPr>
          <w:rFonts w:ascii="Calisto MT" w:hAnsi="Calisto MT" w:cs="Arial"/>
          <w:noProof/>
        </w:rPr>
        <w:t xml:space="preserve">en principio se eliminarían del patrimonio los bienes </w:t>
      </w:r>
      <w:r>
        <w:rPr>
          <w:rFonts w:ascii="Calisto MT" w:hAnsi="Calisto MT" w:cs="Arial"/>
          <w:noProof/>
        </w:rPr>
        <w:t xml:space="preserve">que fueron </w:t>
      </w:r>
      <w:r w:rsidRPr="00BE70C0">
        <w:rPr>
          <w:rFonts w:ascii="Calisto MT" w:hAnsi="Calisto MT" w:cs="Arial"/>
          <w:noProof/>
        </w:rPr>
        <w:t>declarados en cabeza propia “transparentando” el velo corporativo</w:t>
      </w:r>
      <w:r>
        <w:rPr>
          <w:rFonts w:ascii="Calisto MT" w:hAnsi="Calisto MT" w:cs="Arial"/>
          <w:noProof/>
        </w:rPr>
        <w:t>.</w:t>
      </w:r>
    </w:p>
    <w:p w:rsidR="00577BA4" w:rsidRDefault="00577BA4" w:rsidP="002A3684">
      <w:pPr>
        <w:pStyle w:val="BodyText"/>
        <w:rPr>
          <w:rFonts w:ascii="Calisto MT" w:hAnsi="Calisto MT" w:cs="Arial"/>
          <w:noProof/>
        </w:rPr>
      </w:pPr>
      <w:r>
        <w:rPr>
          <w:rFonts w:ascii="Calisto MT" w:hAnsi="Calisto MT" w:cs="Arial"/>
          <w:noProof/>
        </w:rPr>
        <w:t>Siendo que la venta estaría gravada al 15%, sería razonable detraer el valor de venta asignableal bien tratado de modo separado por su “sinceramiento transparentado”a fin de no comparar un costo fiscal “deprimido” de venta de esas acciones que a su vez debieron haber sido sinceradas detrayendo este valor y luego determinar el resultado de venta del bien “transparentado” de manera autónoma y asignando el tratamiento pertinente(para ello sería razonable considerar tales bienes “transparentados” a su valor de incorporación por blanqueo,toda vez que el artículo 5 del DR estipula este valor a “todos los efectos fiscales”).</w:t>
      </w:r>
    </w:p>
    <w:p w:rsidR="00577BA4" w:rsidRDefault="00577BA4" w:rsidP="002A3684">
      <w:pPr>
        <w:pStyle w:val="BodyText"/>
        <w:rPr>
          <w:rFonts w:ascii="Calisto MT" w:hAnsi="Calisto MT" w:cs="Arial"/>
          <w:noProof/>
        </w:rPr>
      </w:pPr>
    </w:p>
    <w:p w:rsidR="00577BA4" w:rsidRDefault="00577BA4" w:rsidP="002A3684">
      <w:pPr>
        <w:pStyle w:val="BodyText"/>
        <w:numPr>
          <w:ilvl w:val="0"/>
          <w:numId w:val="6"/>
        </w:numPr>
        <w:ind w:left="426" w:hanging="425"/>
        <w:rPr>
          <w:rFonts w:ascii="Calisto MT" w:hAnsi="Calisto MT" w:cs="Arial"/>
          <w:b/>
          <w:noProof/>
        </w:rPr>
      </w:pPr>
      <w:r>
        <w:rPr>
          <w:rFonts w:ascii="Calisto MT" w:hAnsi="Calisto MT" w:cs="Arial"/>
          <w:b/>
          <w:noProof/>
        </w:rPr>
        <w:t xml:space="preserve">Inversiones de la Sociedad en bienes situados en el país. Aplicabilidad del régimen de responsable sustituto o bajo el Régimen General en cabeza del accionista o socio domiciliado en el país. </w:t>
      </w:r>
    </w:p>
    <w:p w:rsidR="00577BA4" w:rsidRDefault="00577BA4" w:rsidP="002A3684">
      <w:pPr>
        <w:pStyle w:val="BodyText"/>
        <w:rPr>
          <w:rFonts w:ascii="Calisto MT" w:hAnsi="Calisto MT" w:cs="Arial"/>
          <w:noProof/>
        </w:rPr>
      </w:pPr>
    </w:p>
    <w:p w:rsidR="00577BA4" w:rsidRDefault="00577BA4" w:rsidP="002A3684">
      <w:pPr>
        <w:pStyle w:val="BodyText"/>
        <w:rPr>
          <w:rFonts w:ascii="Calisto MT" w:hAnsi="Calisto MT" w:cs="Arial"/>
          <w:noProof/>
        </w:rPr>
      </w:pPr>
      <w:r w:rsidRPr="00BE70C0">
        <w:rPr>
          <w:rFonts w:ascii="Calisto MT" w:hAnsi="Calisto MT" w:cs="Arial"/>
          <w:noProof/>
        </w:rPr>
        <w:t>Depende</w:t>
      </w:r>
      <w:r>
        <w:rPr>
          <w:rFonts w:ascii="Calisto MT" w:hAnsi="Calisto MT" w:cs="Arial"/>
          <w:noProof/>
        </w:rPr>
        <w:t>rá de</w:t>
      </w:r>
      <w:r w:rsidRPr="00BE70C0">
        <w:rPr>
          <w:rFonts w:ascii="Calisto MT" w:hAnsi="Calisto MT" w:cs="Arial"/>
          <w:noProof/>
        </w:rPr>
        <w:t xml:space="preserve"> cómo h</w:t>
      </w:r>
      <w:r>
        <w:rPr>
          <w:rFonts w:ascii="Calisto MT" w:hAnsi="Calisto MT" w:cs="Arial"/>
          <w:noProof/>
        </w:rPr>
        <w:t>ayan</w:t>
      </w:r>
      <w:r w:rsidRPr="00BE70C0">
        <w:rPr>
          <w:rFonts w:ascii="Calisto MT" w:hAnsi="Calisto MT" w:cs="Arial"/>
          <w:noProof/>
        </w:rPr>
        <w:t xml:space="preserve"> sido sincerados. Si fueron sincerados por </w:t>
      </w:r>
      <w:r>
        <w:rPr>
          <w:rFonts w:ascii="Calisto MT" w:hAnsi="Calisto MT" w:cs="Arial"/>
          <w:noProof/>
        </w:rPr>
        <w:t xml:space="preserve">el accionista “transparentando” el velo societario y asumiendo la tenencia directa de los bienes, </w:t>
      </w:r>
      <w:r w:rsidRPr="00BE70C0">
        <w:rPr>
          <w:rFonts w:ascii="Calisto MT" w:hAnsi="Calisto MT" w:cs="Arial"/>
          <w:noProof/>
        </w:rPr>
        <w:t>debería aplicarse régimen general</w:t>
      </w:r>
      <w:r>
        <w:rPr>
          <w:rFonts w:ascii="Calisto MT" w:hAnsi="Calisto MT" w:cs="Arial"/>
          <w:noProof/>
        </w:rPr>
        <w:t xml:space="preserve"> de valuación y tributación siendo que se trataría de un sujeto domiciliado declarando bienes en el país</w:t>
      </w:r>
      <w:r w:rsidRPr="00BE70C0">
        <w:rPr>
          <w:rFonts w:ascii="Calisto MT" w:hAnsi="Calisto MT" w:cs="Arial"/>
          <w:noProof/>
        </w:rPr>
        <w:t xml:space="preserve">. </w:t>
      </w:r>
    </w:p>
    <w:p w:rsidR="00577BA4" w:rsidRDefault="00577BA4" w:rsidP="002A3684">
      <w:pPr>
        <w:pStyle w:val="BodyText"/>
        <w:rPr>
          <w:rFonts w:ascii="Calisto MT" w:hAnsi="Calisto MT" w:cs="Arial"/>
          <w:noProof/>
        </w:rPr>
      </w:pPr>
    </w:p>
    <w:p w:rsidR="00577BA4" w:rsidRDefault="00577BA4" w:rsidP="002A3684">
      <w:pPr>
        <w:pStyle w:val="BodyText"/>
        <w:rPr>
          <w:rFonts w:ascii="Calisto MT" w:hAnsi="Calisto MT" w:cs="Arial"/>
          <w:noProof/>
        </w:rPr>
      </w:pPr>
      <w:r>
        <w:rPr>
          <w:rFonts w:ascii="Calisto MT" w:hAnsi="Calisto MT" w:cs="Arial"/>
          <w:noProof/>
        </w:rPr>
        <w:t>Si, por el contrario</w:t>
      </w:r>
      <w:r w:rsidRPr="00BE70C0">
        <w:rPr>
          <w:rFonts w:ascii="Calisto MT" w:hAnsi="Calisto MT" w:cs="Arial"/>
          <w:noProof/>
        </w:rPr>
        <w:t>,</w:t>
      </w:r>
      <w:r>
        <w:rPr>
          <w:rFonts w:ascii="Calisto MT" w:hAnsi="Calisto MT" w:cs="Arial"/>
          <w:noProof/>
        </w:rPr>
        <w:t xml:space="preserve"> se hubiera sincerado sólo la tenencia accionaria de una sociedad extranjera que, a su vez, posee bienes inmuebles o acciones en el país, aplicaría el</w:t>
      </w:r>
      <w:r w:rsidRPr="00BE70C0">
        <w:rPr>
          <w:rFonts w:ascii="Calisto MT" w:hAnsi="Calisto MT" w:cs="Arial"/>
          <w:noProof/>
        </w:rPr>
        <w:t xml:space="preserve"> régimen de responsable sustituto </w:t>
      </w:r>
      <w:r>
        <w:rPr>
          <w:rFonts w:ascii="Calisto MT" w:hAnsi="Calisto MT" w:cs="Arial"/>
          <w:noProof/>
        </w:rPr>
        <w:t xml:space="preserve">(en ambos casos cómputo de crédito). Correspondería también la tributación sobre otros bienes si </w:t>
      </w:r>
      <w:r w:rsidRPr="00BE70C0">
        <w:rPr>
          <w:rFonts w:ascii="Calisto MT" w:hAnsi="Calisto MT" w:cs="Arial"/>
          <w:noProof/>
        </w:rPr>
        <w:t>se trat</w:t>
      </w:r>
      <w:r>
        <w:rPr>
          <w:rFonts w:ascii="Calisto MT" w:hAnsi="Calisto MT" w:cs="Arial"/>
          <w:noProof/>
        </w:rPr>
        <w:t>ar</w:t>
      </w:r>
      <w:r w:rsidRPr="00BE70C0">
        <w:rPr>
          <w:rFonts w:ascii="Calisto MT" w:hAnsi="Calisto MT" w:cs="Arial"/>
          <w:noProof/>
        </w:rPr>
        <w:t xml:space="preserve">e de entidad </w:t>
      </w:r>
      <w:r w:rsidRPr="004D33AA">
        <w:rPr>
          <w:rFonts w:ascii="Calisto MT" w:hAnsi="Calisto MT" w:cs="Arial"/>
          <w:i/>
          <w:noProof/>
        </w:rPr>
        <w:t>off-shore</w:t>
      </w:r>
      <w:r w:rsidRPr="00BE70C0">
        <w:rPr>
          <w:rFonts w:ascii="Calisto MT" w:hAnsi="Calisto MT" w:cs="Arial"/>
          <w:noProof/>
        </w:rPr>
        <w:t xml:space="preserve"> no sujeta a régimen de nominatividad de acciones</w:t>
      </w:r>
      <w:r>
        <w:rPr>
          <w:rFonts w:ascii="Calisto MT" w:hAnsi="Calisto MT" w:cs="Arial"/>
          <w:noProof/>
        </w:rPr>
        <w:t xml:space="preserve"> o se trate de inmuebles aunque podría controvertirse el cómputo de crédito de impuesto.</w:t>
      </w:r>
    </w:p>
    <w:p w:rsidR="00577BA4" w:rsidRDefault="00577BA4" w:rsidP="002A3684">
      <w:pPr>
        <w:pStyle w:val="BodyText"/>
        <w:rPr>
          <w:rFonts w:ascii="Calisto MT" w:hAnsi="Calisto MT" w:cs="Arial"/>
          <w:noProof/>
        </w:rPr>
      </w:pPr>
    </w:p>
    <w:p w:rsidR="00577BA4" w:rsidRDefault="00577BA4" w:rsidP="002A3684">
      <w:pPr>
        <w:pStyle w:val="BodyText"/>
        <w:rPr>
          <w:rFonts w:ascii="Calisto MT" w:hAnsi="Calisto MT" w:cs="Arial"/>
          <w:noProof/>
        </w:rPr>
      </w:pPr>
      <w:r>
        <w:rPr>
          <w:rFonts w:ascii="Calisto MT" w:hAnsi="Calisto MT" w:cs="Arial"/>
          <w:noProof/>
        </w:rPr>
        <w:t>La problemática que deriva de estas decisiones tomadas a la hora de exteriorizar estos activos extranjeros juega y continuará jugando un papel relevante en la eventual complejidad que para el contribuyente contenga su propia declaración en los próximos períodos.</w:t>
      </w:r>
    </w:p>
    <w:p w:rsidR="00577BA4" w:rsidRDefault="00577BA4" w:rsidP="002A3684">
      <w:pPr>
        <w:pStyle w:val="BodyText"/>
        <w:rPr>
          <w:rFonts w:ascii="Calisto MT" w:hAnsi="Calisto MT" w:cs="Arial"/>
          <w:noProof/>
        </w:rPr>
      </w:pPr>
    </w:p>
    <w:p w:rsidR="00577BA4" w:rsidRPr="00BE70C0" w:rsidRDefault="00577BA4" w:rsidP="002A3684">
      <w:pPr>
        <w:pStyle w:val="BodyText"/>
        <w:rPr>
          <w:rFonts w:ascii="Calisto MT" w:hAnsi="Calisto MT" w:cs="Arial"/>
          <w:noProof/>
        </w:rPr>
      </w:pPr>
      <w:r>
        <w:rPr>
          <w:rFonts w:ascii="Calisto MT" w:hAnsi="Calisto MT" w:cs="Arial"/>
          <w:noProof/>
        </w:rPr>
        <w:t>En cualquier caso siempre existirán herramientas para simplificar y enmendar las estructuras seleccionadas que, a la luz de las nuevas declaraciones que se presenten pueden requerir correcciones que eviten zonas grises o controvertidas, sin perjuicio de las que deriven de aspectos esenciales como las substancia de entidades extranjeras y las ramificaciones de la reglamentación – cuando ocurra – del Registro de sociedades de rentas pasivas.</w:t>
      </w:r>
    </w:p>
    <w:sectPr w:rsidR="00577BA4" w:rsidRPr="00BE70C0" w:rsidSect="008934F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BA4" w:rsidRDefault="00577BA4" w:rsidP="007C1F1F">
      <w:pPr>
        <w:spacing w:after="0" w:line="240" w:lineRule="auto"/>
      </w:pPr>
      <w:r>
        <w:separator/>
      </w:r>
    </w:p>
  </w:endnote>
  <w:endnote w:type="continuationSeparator" w:id="1">
    <w:p w:rsidR="00577BA4" w:rsidRDefault="00577BA4" w:rsidP="007C1F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sto MT">
    <w:altName w:val="Cambria Math"/>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A4" w:rsidRDefault="00577B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A4" w:rsidRDefault="00577BA4">
    <w:pPr>
      <w:pStyle w:val="Footer"/>
      <w:jc w:val="right"/>
    </w:pPr>
    <w:fldSimple w:instr=" PAGE   \* MERGEFORMAT ">
      <w:r>
        <w:rPr>
          <w:noProof/>
        </w:rPr>
        <w:t>1</w:t>
      </w:r>
    </w:fldSimple>
  </w:p>
  <w:p w:rsidR="00577BA4" w:rsidRDefault="00577B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A4" w:rsidRDefault="00577B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BA4" w:rsidRDefault="00577BA4" w:rsidP="007C1F1F">
      <w:pPr>
        <w:spacing w:after="0" w:line="240" w:lineRule="auto"/>
      </w:pPr>
      <w:r>
        <w:separator/>
      </w:r>
    </w:p>
  </w:footnote>
  <w:footnote w:type="continuationSeparator" w:id="1">
    <w:p w:rsidR="00577BA4" w:rsidRDefault="00577BA4" w:rsidP="007C1F1F">
      <w:pPr>
        <w:spacing w:after="0" w:line="240" w:lineRule="auto"/>
      </w:pPr>
      <w:r>
        <w:continuationSeparator/>
      </w:r>
    </w:p>
  </w:footnote>
  <w:footnote w:id="2">
    <w:p w:rsidR="00577BA4" w:rsidRDefault="00577BA4">
      <w:pPr>
        <w:pStyle w:val="FootnoteText"/>
      </w:pPr>
      <w:r w:rsidRPr="00EC69D4">
        <w:rPr>
          <w:rStyle w:val="FootnoteReference"/>
          <w:rFonts w:ascii="Calibri" w:hAnsi="Calibri"/>
          <w:sz w:val="16"/>
          <w:szCs w:val="16"/>
        </w:rPr>
        <w:footnoteRef/>
      </w:r>
      <w:r w:rsidRPr="00EC69D4">
        <w:rPr>
          <w:rFonts w:ascii="Calibri" w:hAnsi="Calibri"/>
          <w:sz w:val="16"/>
          <w:szCs w:val="16"/>
        </w:rPr>
        <w:t xml:space="preserve"> Nótese que no se hace mención a los fideicomisos no financieros que tributan conforme al artículo 25.1.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A4" w:rsidRDefault="00577B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A4" w:rsidRDefault="00577B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A4" w:rsidRDefault="00577B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68E4"/>
    <w:multiLevelType w:val="hybridMultilevel"/>
    <w:tmpl w:val="8960BC46"/>
    <w:lvl w:ilvl="0" w:tplc="77C65A46">
      <w:start w:val="1"/>
      <w:numFmt w:val="lowerLetter"/>
      <w:lvlText w:val="%1)"/>
      <w:lvlJc w:val="left"/>
      <w:pPr>
        <w:ind w:left="720" w:hanging="720"/>
      </w:pPr>
      <w:rPr>
        <w:rFonts w:cs="Times New Roman" w:hint="default"/>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1">
    <w:nsid w:val="1B054406"/>
    <w:multiLevelType w:val="hybridMultilevel"/>
    <w:tmpl w:val="3F5E4FDC"/>
    <w:lvl w:ilvl="0" w:tplc="4106E4BA">
      <w:start w:val="1"/>
      <w:numFmt w:val="lowerRoman"/>
      <w:lvlText w:val="%1."/>
      <w:lvlJc w:val="left"/>
      <w:pPr>
        <w:ind w:left="1140" w:hanging="720"/>
      </w:pPr>
      <w:rPr>
        <w:rFonts w:cs="Times New Roman" w:hint="default"/>
      </w:rPr>
    </w:lvl>
    <w:lvl w:ilvl="1" w:tplc="2C0A0019" w:tentative="1">
      <w:start w:val="1"/>
      <w:numFmt w:val="lowerLetter"/>
      <w:lvlText w:val="%2."/>
      <w:lvlJc w:val="left"/>
      <w:pPr>
        <w:ind w:left="1500" w:hanging="360"/>
      </w:pPr>
      <w:rPr>
        <w:rFonts w:cs="Times New Roman"/>
      </w:rPr>
    </w:lvl>
    <w:lvl w:ilvl="2" w:tplc="2C0A001B" w:tentative="1">
      <w:start w:val="1"/>
      <w:numFmt w:val="lowerRoman"/>
      <w:lvlText w:val="%3."/>
      <w:lvlJc w:val="right"/>
      <w:pPr>
        <w:ind w:left="2220" w:hanging="180"/>
      </w:pPr>
      <w:rPr>
        <w:rFonts w:cs="Times New Roman"/>
      </w:rPr>
    </w:lvl>
    <w:lvl w:ilvl="3" w:tplc="2C0A000F" w:tentative="1">
      <w:start w:val="1"/>
      <w:numFmt w:val="decimal"/>
      <w:lvlText w:val="%4."/>
      <w:lvlJc w:val="left"/>
      <w:pPr>
        <w:ind w:left="2940" w:hanging="360"/>
      </w:pPr>
      <w:rPr>
        <w:rFonts w:cs="Times New Roman"/>
      </w:rPr>
    </w:lvl>
    <w:lvl w:ilvl="4" w:tplc="2C0A0019" w:tentative="1">
      <w:start w:val="1"/>
      <w:numFmt w:val="lowerLetter"/>
      <w:lvlText w:val="%5."/>
      <w:lvlJc w:val="left"/>
      <w:pPr>
        <w:ind w:left="3660" w:hanging="360"/>
      </w:pPr>
      <w:rPr>
        <w:rFonts w:cs="Times New Roman"/>
      </w:rPr>
    </w:lvl>
    <w:lvl w:ilvl="5" w:tplc="2C0A001B" w:tentative="1">
      <w:start w:val="1"/>
      <w:numFmt w:val="lowerRoman"/>
      <w:lvlText w:val="%6."/>
      <w:lvlJc w:val="right"/>
      <w:pPr>
        <w:ind w:left="4380" w:hanging="180"/>
      </w:pPr>
      <w:rPr>
        <w:rFonts w:cs="Times New Roman"/>
      </w:rPr>
    </w:lvl>
    <w:lvl w:ilvl="6" w:tplc="2C0A000F" w:tentative="1">
      <w:start w:val="1"/>
      <w:numFmt w:val="decimal"/>
      <w:lvlText w:val="%7."/>
      <w:lvlJc w:val="left"/>
      <w:pPr>
        <w:ind w:left="5100" w:hanging="360"/>
      </w:pPr>
      <w:rPr>
        <w:rFonts w:cs="Times New Roman"/>
      </w:rPr>
    </w:lvl>
    <w:lvl w:ilvl="7" w:tplc="2C0A0019" w:tentative="1">
      <w:start w:val="1"/>
      <w:numFmt w:val="lowerLetter"/>
      <w:lvlText w:val="%8."/>
      <w:lvlJc w:val="left"/>
      <w:pPr>
        <w:ind w:left="5820" w:hanging="360"/>
      </w:pPr>
      <w:rPr>
        <w:rFonts w:cs="Times New Roman"/>
      </w:rPr>
    </w:lvl>
    <w:lvl w:ilvl="8" w:tplc="2C0A001B" w:tentative="1">
      <w:start w:val="1"/>
      <w:numFmt w:val="lowerRoman"/>
      <w:lvlText w:val="%9."/>
      <w:lvlJc w:val="right"/>
      <w:pPr>
        <w:ind w:left="6540" w:hanging="180"/>
      </w:pPr>
      <w:rPr>
        <w:rFonts w:cs="Times New Roman"/>
      </w:rPr>
    </w:lvl>
  </w:abstractNum>
  <w:abstractNum w:abstractNumId="2">
    <w:nsid w:val="1E735FE0"/>
    <w:multiLevelType w:val="hybridMultilevel"/>
    <w:tmpl w:val="31AA9EB8"/>
    <w:lvl w:ilvl="0" w:tplc="E31C69D2">
      <w:start w:val="1"/>
      <w:numFmt w:val="low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32744AE8"/>
    <w:multiLevelType w:val="hybridMultilevel"/>
    <w:tmpl w:val="6F42C1EC"/>
    <w:lvl w:ilvl="0" w:tplc="2C0A0019">
      <w:start w:val="1"/>
      <w:numFmt w:val="lowerLetter"/>
      <w:lvlText w:val="%1."/>
      <w:lvlJc w:val="left"/>
      <w:pPr>
        <w:ind w:left="1440" w:hanging="720"/>
      </w:pPr>
      <w:rPr>
        <w:rFonts w:cs="Times New Roman" w:hint="default"/>
      </w:rPr>
    </w:lvl>
    <w:lvl w:ilvl="1" w:tplc="2C0A0019" w:tentative="1">
      <w:start w:val="1"/>
      <w:numFmt w:val="lowerLetter"/>
      <w:lvlText w:val="%2."/>
      <w:lvlJc w:val="left"/>
      <w:pPr>
        <w:ind w:left="1800" w:hanging="360"/>
      </w:pPr>
      <w:rPr>
        <w:rFonts w:cs="Times New Roman"/>
      </w:rPr>
    </w:lvl>
    <w:lvl w:ilvl="2" w:tplc="2C0A001B" w:tentative="1">
      <w:start w:val="1"/>
      <w:numFmt w:val="lowerRoman"/>
      <w:lvlText w:val="%3."/>
      <w:lvlJc w:val="right"/>
      <w:pPr>
        <w:ind w:left="2520" w:hanging="180"/>
      </w:pPr>
      <w:rPr>
        <w:rFonts w:cs="Times New Roman"/>
      </w:rPr>
    </w:lvl>
    <w:lvl w:ilvl="3" w:tplc="2C0A000F" w:tentative="1">
      <w:start w:val="1"/>
      <w:numFmt w:val="decimal"/>
      <w:lvlText w:val="%4."/>
      <w:lvlJc w:val="left"/>
      <w:pPr>
        <w:ind w:left="3240" w:hanging="360"/>
      </w:pPr>
      <w:rPr>
        <w:rFonts w:cs="Times New Roman"/>
      </w:rPr>
    </w:lvl>
    <w:lvl w:ilvl="4" w:tplc="2C0A0019" w:tentative="1">
      <w:start w:val="1"/>
      <w:numFmt w:val="lowerLetter"/>
      <w:lvlText w:val="%5."/>
      <w:lvlJc w:val="left"/>
      <w:pPr>
        <w:ind w:left="3960" w:hanging="360"/>
      </w:pPr>
      <w:rPr>
        <w:rFonts w:cs="Times New Roman"/>
      </w:rPr>
    </w:lvl>
    <w:lvl w:ilvl="5" w:tplc="2C0A001B" w:tentative="1">
      <w:start w:val="1"/>
      <w:numFmt w:val="lowerRoman"/>
      <w:lvlText w:val="%6."/>
      <w:lvlJc w:val="right"/>
      <w:pPr>
        <w:ind w:left="4680" w:hanging="180"/>
      </w:pPr>
      <w:rPr>
        <w:rFonts w:cs="Times New Roman"/>
      </w:rPr>
    </w:lvl>
    <w:lvl w:ilvl="6" w:tplc="2C0A000F" w:tentative="1">
      <w:start w:val="1"/>
      <w:numFmt w:val="decimal"/>
      <w:lvlText w:val="%7."/>
      <w:lvlJc w:val="left"/>
      <w:pPr>
        <w:ind w:left="5400" w:hanging="360"/>
      </w:pPr>
      <w:rPr>
        <w:rFonts w:cs="Times New Roman"/>
      </w:rPr>
    </w:lvl>
    <w:lvl w:ilvl="7" w:tplc="2C0A0019" w:tentative="1">
      <w:start w:val="1"/>
      <w:numFmt w:val="lowerLetter"/>
      <w:lvlText w:val="%8."/>
      <w:lvlJc w:val="left"/>
      <w:pPr>
        <w:ind w:left="6120" w:hanging="360"/>
      </w:pPr>
      <w:rPr>
        <w:rFonts w:cs="Times New Roman"/>
      </w:rPr>
    </w:lvl>
    <w:lvl w:ilvl="8" w:tplc="2C0A001B" w:tentative="1">
      <w:start w:val="1"/>
      <w:numFmt w:val="lowerRoman"/>
      <w:lvlText w:val="%9."/>
      <w:lvlJc w:val="right"/>
      <w:pPr>
        <w:ind w:left="6840" w:hanging="180"/>
      </w:pPr>
      <w:rPr>
        <w:rFonts w:cs="Times New Roman"/>
      </w:rPr>
    </w:lvl>
  </w:abstractNum>
  <w:abstractNum w:abstractNumId="4">
    <w:nsid w:val="48867E47"/>
    <w:multiLevelType w:val="hybridMultilevel"/>
    <w:tmpl w:val="D0F4C494"/>
    <w:lvl w:ilvl="0" w:tplc="B3AC56F0">
      <w:start w:val="1"/>
      <w:numFmt w:val="bullet"/>
      <w:lvlText w:val="-"/>
      <w:lvlJc w:val="left"/>
      <w:pPr>
        <w:ind w:left="720" w:hanging="360"/>
      </w:pPr>
      <w:rPr>
        <w:rFonts w:ascii="Calisto MT" w:eastAsia="Times New Roman" w:hAnsi="Calisto MT"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5B034581"/>
    <w:multiLevelType w:val="hybridMultilevel"/>
    <w:tmpl w:val="F8E4F880"/>
    <w:lvl w:ilvl="0" w:tplc="08227F14">
      <w:start w:val="1"/>
      <w:numFmt w:val="lowerLetter"/>
      <w:lvlText w:val="%1)"/>
      <w:lvlJc w:val="left"/>
      <w:pPr>
        <w:ind w:left="720" w:hanging="360"/>
      </w:pPr>
      <w:rPr>
        <w:rFonts w:ascii="Calisto MT" w:eastAsia="Times New Roman" w:hAnsi="Calisto MT" w:cs="Arial"/>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1F1F"/>
    <w:rsid w:val="000358F7"/>
    <w:rsid w:val="00063D4A"/>
    <w:rsid w:val="00066CFB"/>
    <w:rsid w:val="000751B0"/>
    <w:rsid w:val="000846B0"/>
    <w:rsid w:val="000C00AE"/>
    <w:rsid w:val="000D20C1"/>
    <w:rsid w:val="000F7A69"/>
    <w:rsid w:val="001E1B4D"/>
    <w:rsid w:val="002105B6"/>
    <w:rsid w:val="002373A0"/>
    <w:rsid w:val="002424F0"/>
    <w:rsid w:val="00245C0B"/>
    <w:rsid w:val="002A153D"/>
    <w:rsid w:val="002A3684"/>
    <w:rsid w:val="002C18AB"/>
    <w:rsid w:val="002E67C7"/>
    <w:rsid w:val="00312084"/>
    <w:rsid w:val="0034425C"/>
    <w:rsid w:val="003726AF"/>
    <w:rsid w:val="0039079F"/>
    <w:rsid w:val="00396D65"/>
    <w:rsid w:val="003C2E84"/>
    <w:rsid w:val="003E3F96"/>
    <w:rsid w:val="003F2C7C"/>
    <w:rsid w:val="0047114A"/>
    <w:rsid w:val="00482A76"/>
    <w:rsid w:val="004D33AA"/>
    <w:rsid w:val="004F13B1"/>
    <w:rsid w:val="005448C3"/>
    <w:rsid w:val="0057731C"/>
    <w:rsid w:val="00577BA4"/>
    <w:rsid w:val="005C1371"/>
    <w:rsid w:val="00600830"/>
    <w:rsid w:val="00633715"/>
    <w:rsid w:val="00637267"/>
    <w:rsid w:val="00684CAA"/>
    <w:rsid w:val="006B69D6"/>
    <w:rsid w:val="006D5FD6"/>
    <w:rsid w:val="00726DCC"/>
    <w:rsid w:val="007340ED"/>
    <w:rsid w:val="00735151"/>
    <w:rsid w:val="00772493"/>
    <w:rsid w:val="007C1F1F"/>
    <w:rsid w:val="007D520A"/>
    <w:rsid w:val="007E668A"/>
    <w:rsid w:val="0080624E"/>
    <w:rsid w:val="00823025"/>
    <w:rsid w:val="00862548"/>
    <w:rsid w:val="0087663C"/>
    <w:rsid w:val="00877545"/>
    <w:rsid w:val="00887D1B"/>
    <w:rsid w:val="008934FA"/>
    <w:rsid w:val="00912395"/>
    <w:rsid w:val="00946354"/>
    <w:rsid w:val="0098749B"/>
    <w:rsid w:val="009B43F8"/>
    <w:rsid w:val="00A23BF8"/>
    <w:rsid w:val="00A32CEF"/>
    <w:rsid w:val="00AA7F01"/>
    <w:rsid w:val="00AC5FE1"/>
    <w:rsid w:val="00B21BAB"/>
    <w:rsid w:val="00B54662"/>
    <w:rsid w:val="00B6019A"/>
    <w:rsid w:val="00B7561C"/>
    <w:rsid w:val="00BA4F2B"/>
    <w:rsid w:val="00BE70C0"/>
    <w:rsid w:val="00C40413"/>
    <w:rsid w:val="00C42990"/>
    <w:rsid w:val="00C978E3"/>
    <w:rsid w:val="00CA35AD"/>
    <w:rsid w:val="00D04F8B"/>
    <w:rsid w:val="00D63C32"/>
    <w:rsid w:val="00D64E1D"/>
    <w:rsid w:val="00D71A91"/>
    <w:rsid w:val="00DA437F"/>
    <w:rsid w:val="00DE695C"/>
    <w:rsid w:val="00DF01C3"/>
    <w:rsid w:val="00DF113F"/>
    <w:rsid w:val="00E3567F"/>
    <w:rsid w:val="00E45EEC"/>
    <w:rsid w:val="00EA3BBD"/>
    <w:rsid w:val="00EC69D4"/>
    <w:rsid w:val="00EC6BDA"/>
    <w:rsid w:val="00F27EE3"/>
    <w:rsid w:val="00F320AE"/>
    <w:rsid w:val="00FC1778"/>
    <w:rsid w:val="00FD043A"/>
    <w:rsid w:val="00FD5C9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Arial" w:hAnsi="Georgia"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413"/>
    <w:pPr>
      <w:spacing w:after="160" w:line="259" w:lineRule="auto"/>
    </w:pPr>
    <w:rPr>
      <w:sz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7C1F1F"/>
    <w:pPr>
      <w:spacing w:after="0" w:line="240" w:lineRule="auto"/>
      <w:jc w:val="both"/>
    </w:pPr>
    <w:rPr>
      <w:rFonts w:ascii="Times New Roman" w:eastAsia="Times New Roman" w:hAnsi="Times New Roman"/>
      <w:sz w:val="24"/>
      <w:szCs w:val="24"/>
      <w:lang w:val="es-AR"/>
    </w:rPr>
  </w:style>
  <w:style w:type="character" w:customStyle="1" w:styleId="BodyTextChar">
    <w:name w:val="Body Text Char"/>
    <w:basedOn w:val="DefaultParagraphFont"/>
    <w:link w:val="BodyText"/>
    <w:uiPriority w:val="99"/>
    <w:semiHidden/>
    <w:locked/>
    <w:rsid w:val="007C1F1F"/>
    <w:rPr>
      <w:rFonts w:ascii="Times New Roman" w:hAnsi="Times New Roman" w:cs="Times New Roman"/>
      <w:sz w:val="24"/>
      <w:szCs w:val="24"/>
      <w:lang w:val="es-AR"/>
    </w:rPr>
  </w:style>
  <w:style w:type="character" w:styleId="FootnoteReference">
    <w:name w:val="footnote reference"/>
    <w:basedOn w:val="DefaultParagraphFont"/>
    <w:uiPriority w:val="99"/>
    <w:semiHidden/>
    <w:rsid w:val="007C1F1F"/>
    <w:rPr>
      <w:rFonts w:cs="Times New Roman"/>
      <w:vertAlign w:val="superscript"/>
    </w:rPr>
  </w:style>
  <w:style w:type="paragraph" w:styleId="FootnoteText">
    <w:name w:val="footnote text"/>
    <w:basedOn w:val="Normal"/>
    <w:link w:val="FootnoteTextChar"/>
    <w:uiPriority w:val="99"/>
    <w:semiHidden/>
    <w:rsid w:val="007C1F1F"/>
    <w:pPr>
      <w:spacing w:after="0" w:line="240" w:lineRule="auto"/>
    </w:pPr>
    <w:rPr>
      <w:rFonts w:ascii="Times New Roman" w:eastAsia="Times New Roman" w:hAnsi="Times New Roman"/>
      <w:szCs w:val="20"/>
      <w:lang w:val="es-AR"/>
    </w:rPr>
  </w:style>
  <w:style w:type="character" w:customStyle="1" w:styleId="FootnoteTextChar">
    <w:name w:val="Footnote Text Char"/>
    <w:basedOn w:val="DefaultParagraphFont"/>
    <w:link w:val="FootnoteText"/>
    <w:uiPriority w:val="99"/>
    <w:semiHidden/>
    <w:locked/>
    <w:rsid w:val="007C1F1F"/>
    <w:rPr>
      <w:rFonts w:ascii="Times New Roman" w:hAnsi="Times New Roman" w:cs="Times New Roman"/>
      <w:sz w:val="20"/>
      <w:szCs w:val="20"/>
      <w:lang w:val="es-AR"/>
    </w:rPr>
  </w:style>
  <w:style w:type="paragraph" w:styleId="NormalWeb">
    <w:name w:val="Normal (Web)"/>
    <w:basedOn w:val="Normal"/>
    <w:uiPriority w:val="99"/>
    <w:rsid w:val="00887D1B"/>
    <w:pPr>
      <w:spacing w:before="150" w:after="300" w:line="240" w:lineRule="auto"/>
      <w:ind w:left="600" w:right="600"/>
    </w:pPr>
    <w:rPr>
      <w:rFonts w:ascii="Times New Roman" w:eastAsia="Times New Roman" w:hAnsi="Times New Roman"/>
      <w:color w:val="000000"/>
      <w:sz w:val="18"/>
      <w:szCs w:val="18"/>
      <w:lang w:val="es-AR" w:eastAsia="es-AR"/>
    </w:rPr>
  </w:style>
  <w:style w:type="character" w:styleId="Hyperlink">
    <w:name w:val="Hyperlink"/>
    <w:basedOn w:val="DefaultParagraphFont"/>
    <w:uiPriority w:val="99"/>
    <w:semiHidden/>
    <w:rsid w:val="00887D1B"/>
    <w:rPr>
      <w:rFonts w:cs="Times New Roman"/>
      <w:color w:val="0000FF"/>
      <w:u w:val="single"/>
    </w:rPr>
  </w:style>
  <w:style w:type="character" w:styleId="Emphasis">
    <w:name w:val="Emphasis"/>
    <w:basedOn w:val="DefaultParagraphFont"/>
    <w:uiPriority w:val="99"/>
    <w:qFormat/>
    <w:rsid w:val="004F13B1"/>
    <w:rPr>
      <w:rFonts w:cs="Times New Roman"/>
      <w:i/>
      <w:iCs/>
    </w:rPr>
  </w:style>
  <w:style w:type="paragraph" w:styleId="ListParagraph">
    <w:name w:val="List Paragraph"/>
    <w:basedOn w:val="Normal"/>
    <w:uiPriority w:val="99"/>
    <w:qFormat/>
    <w:rsid w:val="00DA437F"/>
    <w:pPr>
      <w:ind w:left="720"/>
      <w:contextualSpacing/>
    </w:pPr>
  </w:style>
  <w:style w:type="paragraph" w:styleId="Title">
    <w:name w:val="Title"/>
    <w:basedOn w:val="Normal"/>
    <w:link w:val="TitleChar"/>
    <w:uiPriority w:val="99"/>
    <w:qFormat/>
    <w:rsid w:val="000751B0"/>
    <w:pPr>
      <w:spacing w:after="0" w:line="240" w:lineRule="auto"/>
      <w:jc w:val="center"/>
    </w:pPr>
    <w:rPr>
      <w:rFonts w:ascii="Times New Roman" w:eastAsia="Times New Roman" w:hAnsi="Times New Roman"/>
      <w:sz w:val="24"/>
      <w:szCs w:val="24"/>
      <w:u w:val="single"/>
      <w:lang w:val="es-AR"/>
    </w:rPr>
  </w:style>
  <w:style w:type="character" w:customStyle="1" w:styleId="TitleChar">
    <w:name w:val="Title Char"/>
    <w:basedOn w:val="DefaultParagraphFont"/>
    <w:link w:val="Title"/>
    <w:uiPriority w:val="99"/>
    <w:locked/>
    <w:rsid w:val="000751B0"/>
    <w:rPr>
      <w:rFonts w:ascii="Times New Roman" w:hAnsi="Times New Roman" w:cs="Times New Roman"/>
      <w:sz w:val="24"/>
      <w:szCs w:val="24"/>
      <w:u w:val="single"/>
      <w:lang w:val="es-AR"/>
    </w:rPr>
  </w:style>
  <w:style w:type="paragraph" w:styleId="BalloonText">
    <w:name w:val="Balloon Text"/>
    <w:basedOn w:val="Normal"/>
    <w:link w:val="BalloonTextChar"/>
    <w:uiPriority w:val="99"/>
    <w:semiHidden/>
    <w:rsid w:val="008062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0624E"/>
    <w:rPr>
      <w:rFonts w:ascii="Segoe UI" w:hAnsi="Segoe UI" w:cs="Segoe UI"/>
      <w:sz w:val="18"/>
      <w:szCs w:val="18"/>
    </w:rPr>
  </w:style>
  <w:style w:type="character" w:styleId="CommentReference">
    <w:name w:val="annotation reference"/>
    <w:basedOn w:val="DefaultParagraphFont"/>
    <w:uiPriority w:val="99"/>
    <w:semiHidden/>
    <w:rsid w:val="00DF01C3"/>
    <w:rPr>
      <w:rFonts w:cs="Times New Roman"/>
      <w:sz w:val="16"/>
      <w:szCs w:val="16"/>
    </w:rPr>
  </w:style>
  <w:style w:type="paragraph" w:styleId="CommentText">
    <w:name w:val="annotation text"/>
    <w:basedOn w:val="Normal"/>
    <w:link w:val="CommentTextChar"/>
    <w:uiPriority w:val="99"/>
    <w:semiHidden/>
    <w:rsid w:val="00DF01C3"/>
    <w:pPr>
      <w:spacing w:line="240" w:lineRule="auto"/>
    </w:pPr>
    <w:rPr>
      <w:szCs w:val="20"/>
    </w:rPr>
  </w:style>
  <w:style w:type="character" w:customStyle="1" w:styleId="CommentTextChar">
    <w:name w:val="Comment Text Char"/>
    <w:basedOn w:val="DefaultParagraphFont"/>
    <w:link w:val="CommentText"/>
    <w:uiPriority w:val="99"/>
    <w:semiHidden/>
    <w:locked/>
    <w:rsid w:val="00DF01C3"/>
    <w:rPr>
      <w:rFonts w:cs="Times New Roman"/>
      <w:sz w:val="20"/>
      <w:szCs w:val="20"/>
    </w:rPr>
  </w:style>
  <w:style w:type="paragraph" w:styleId="CommentSubject">
    <w:name w:val="annotation subject"/>
    <w:basedOn w:val="CommentText"/>
    <w:next w:val="CommentText"/>
    <w:link w:val="CommentSubjectChar"/>
    <w:uiPriority w:val="99"/>
    <w:semiHidden/>
    <w:rsid w:val="00DF01C3"/>
    <w:rPr>
      <w:b/>
      <w:bCs/>
    </w:rPr>
  </w:style>
  <w:style w:type="character" w:customStyle="1" w:styleId="CommentSubjectChar">
    <w:name w:val="Comment Subject Char"/>
    <w:basedOn w:val="CommentTextChar"/>
    <w:link w:val="CommentSubject"/>
    <w:uiPriority w:val="99"/>
    <w:semiHidden/>
    <w:locked/>
    <w:rsid w:val="00DF01C3"/>
    <w:rPr>
      <w:b/>
      <w:bCs/>
    </w:rPr>
  </w:style>
  <w:style w:type="paragraph" w:styleId="Header">
    <w:name w:val="header"/>
    <w:basedOn w:val="Normal"/>
    <w:link w:val="HeaderChar"/>
    <w:uiPriority w:val="99"/>
    <w:rsid w:val="00726DCC"/>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726DCC"/>
    <w:rPr>
      <w:rFonts w:cs="Times New Roman"/>
    </w:rPr>
  </w:style>
  <w:style w:type="paragraph" w:styleId="Footer">
    <w:name w:val="footer"/>
    <w:basedOn w:val="Normal"/>
    <w:link w:val="FooterChar"/>
    <w:uiPriority w:val="99"/>
    <w:rsid w:val="00726DCC"/>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726DCC"/>
    <w:rPr>
      <w:rFonts w:cs="Times New Roman"/>
    </w:rPr>
  </w:style>
  <w:style w:type="character" w:styleId="Strong">
    <w:name w:val="Strong"/>
    <w:basedOn w:val="DefaultParagraphFont"/>
    <w:uiPriority w:val="99"/>
    <w:qFormat/>
    <w:locked/>
    <w:rsid w:val="003C2E84"/>
    <w:rPr>
      <w:rFonts w:cs="Times New Roman"/>
      <w:b/>
      <w:bCs/>
    </w:rPr>
  </w:style>
  <w:style w:type="paragraph" w:styleId="TOC1">
    <w:name w:val="toc 1"/>
    <w:basedOn w:val="Normal"/>
    <w:next w:val="Normal"/>
    <w:autoRedefine/>
    <w:uiPriority w:val="99"/>
    <w:locked/>
    <w:rsid w:val="003C2E84"/>
    <w:pPr>
      <w:spacing w:before="120" w:after="120"/>
    </w:pPr>
    <w:rPr>
      <w:rFonts w:ascii="Calibri" w:hAnsi="Calibri" w:cs="Calibri"/>
      <w:bCs/>
      <w:i/>
      <w:sz w:val="24"/>
      <w:szCs w:val="20"/>
      <w:lang w:val="es-AR" w:eastAsia="es-AR"/>
    </w:rPr>
  </w:style>
</w:styles>
</file>

<file path=word/webSettings.xml><?xml version="1.0" encoding="utf-8"?>
<w:webSettings xmlns:r="http://schemas.openxmlformats.org/officeDocument/2006/relationships" xmlns:w="http://schemas.openxmlformats.org/wordprocessingml/2006/main">
  <w:divs>
    <w:div w:id="1411076074">
      <w:marLeft w:val="0"/>
      <w:marRight w:val="0"/>
      <w:marTop w:val="0"/>
      <w:marBottom w:val="0"/>
      <w:divBdr>
        <w:top w:val="none" w:sz="0" w:space="0" w:color="auto"/>
        <w:left w:val="none" w:sz="0" w:space="0" w:color="auto"/>
        <w:bottom w:val="none" w:sz="0" w:space="0" w:color="auto"/>
        <w:right w:val="none" w:sz="0" w:space="0" w:color="auto"/>
      </w:divBdr>
    </w:div>
    <w:div w:id="1411076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32</Pages>
  <Words>2828</Words>
  <Characters>15557</Characters>
  <Application>Microsoft Office Outlook</Application>
  <DocSecurity>0</DocSecurity>
  <Lines>0</Lines>
  <Paragraphs>0</Paragraphs>
  <ScaleCrop>false</ScaleCrop>
  <Company>PricewaterhouseCoopers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Simposio sobre Legislación Tributaria</dc:title>
  <dc:subject/>
  <dc:creator>Ignacio Eduardo Rodriguez</dc:creator>
  <cp:keywords/>
  <dc:description/>
  <cp:lastModifiedBy>Hernán Castillejo</cp:lastModifiedBy>
  <cp:revision>2</cp:revision>
  <cp:lastPrinted>2017-09-04T19:34:00Z</cp:lastPrinted>
  <dcterms:created xsi:type="dcterms:W3CDTF">2017-09-05T20:11:00Z</dcterms:created>
  <dcterms:modified xsi:type="dcterms:W3CDTF">2017-09-05T20:11:00Z</dcterms:modified>
</cp:coreProperties>
</file>