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2BB" w:rsidRPr="00451C02" w:rsidRDefault="00A832BB" w:rsidP="00802FCD">
      <w:pPr>
        <w:pStyle w:val="CuerpoA"/>
        <w:pBdr>
          <w:top w:val="none" w:sz="0" w:space="0" w:color="auto"/>
          <w:left w:val="none" w:sz="0" w:space="0" w:color="auto"/>
          <w:bottom w:val="none" w:sz="0" w:space="0" w:color="auto"/>
          <w:right w:val="none" w:sz="0" w:space="0" w:color="auto"/>
          <w:bar w:val="none" w:sz="0" w:color="auto"/>
        </w:pBdr>
        <w:jc w:val="center"/>
        <w:rPr>
          <w:rFonts w:ascii="Arial" w:hAnsi="Arial" w:cs="Arial"/>
          <w:sz w:val="28"/>
          <w:szCs w:val="24"/>
        </w:rPr>
      </w:pPr>
      <w:bookmarkStart w:id="0" w:name="_GoBack"/>
      <w:bookmarkEnd w:id="0"/>
      <w:r w:rsidRPr="00451C02">
        <w:rPr>
          <w:rFonts w:ascii="Arial" w:hAnsi="Arial" w:cs="Arial"/>
          <w:sz w:val="28"/>
          <w:szCs w:val="24"/>
        </w:rPr>
        <w:t>15</w:t>
      </w:r>
      <w:r w:rsidRPr="00451C02">
        <w:rPr>
          <w:rFonts w:ascii="Arial" w:hAnsi="Arial" w:cs="Arial"/>
          <w:sz w:val="28"/>
          <w:szCs w:val="24"/>
          <w:lang w:val="es-ES_tradnl"/>
        </w:rPr>
        <w:t>° Congreso Tributario</w:t>
      </w:r>
    </w:p>
    <w:p w:rsidR="00A832BB" w:rsidRPr="00451C02" w:rsidRDefault="00A832BB" w:rsidP="00802FCD">
      <w:pPr>
        <w:pStyle w:val="CuerpoA"/>
        <w:pBdr>
          <w:top w:val="none" w:sz="0" w:space="0" w:color="auto"/>
          <w:left w:val="none" w:sz="0" w:space="0" w:color="auto"/>
          <w:bottom w:val="none" w:sz="0" w:space="0" w:color="auto"/>
          <w:right w:val="none" w:sz="0" w:space="0" w:color="auto"/>
          <w:bar w:val="none" w:sz="0" w:color="auto"/>
        </w:pBdr>
        <w:jc w:val="center"/>
        <w:rPr>
          <w:rFonts w:ascii="Arial" w:hAnsi="Arial" w:cs="Arial"/>
          <w:sz w:val="28"/>
          <w:szCs w:val="24"/>
        </w:rPr>
      </w:pPr>
      <w:r w:rsidRPr="00451C02">
        <w:rPr>
          <w:rFonts w:ascii="Arial" w:hAnsi="Arial" w:cs="Arial"/>
          <w:sz w:val="28"/>
          <w:szCs w:val="24"/>
          <w:lang w:val="es-ES_tradnl"/>
        </w:rPr>
        <w:t>Consejo Profesional de Ciencias Económicas de la</w:t>
      </w:r>
    </w:p>
    <w:p w:rsidR="00A832BB" w:rsidRPr="00451C02" w:rsidRDefault="00A832BB" w:rsidP="00802FCD">
      <w:pPr>
        <w:pStyle w:val="CuerpoA"/>
        <w:pBdr>
          <w:top w:val="none" w:sz="0" w:space="0" w:color="auto"/>
          <w:left w:val="none" w:sz="0" w:space="0" w:color="auto"/>
          <w:bottom w:val="none" w:sz="0" w:space="0" w:color="auto"/>
          <w:right w:val="none" w:sz="0" w:space="0" w:color="auto"/>
          <w:bar w:val="none" w:sz="0" w:color="auto"/>
        </w:pBdr>
        <w:jc w:val="center"/>
        <w:rPr>
          <w:rFonts w:ascii="Arial" w:hAnsi="Arial" w:cs="Arial"/>
          <w:sz w:val="28"/>
          <w:szCs w:val="24"/>
        </w:rPr>
      </w:pPr>
      <w:r w:rsidRPr="00451C02">
        <w:rPr>
          <w:rFonts w:ascii="Arial" w:hAnsi="Arial" w:cs="Arial"/>
          <w:sz w:val="28"/>
          <w:szCs w:val="24"/>
          <w:lang w:val="es-ES_tradnl"/>
        </w:rPr>
        <w:t>Ciudad Autónoma de Buenos Aires</w:t>
      </w:r>
    </w:p>
    <w:p w:rsidR="00A832BB" w:rsidRPr="00451C02" w:rsidRDefault="00A832BB" w:rsidP="00802FCD">
      <w:pPr>
        <w:pStyle w:val="CuerpoA"/>
        <w:pBdr>
          <w:top w:val="none" w:sz="0" w:space="0" w:color="auto"/>
          <w:left w:val="none" w:sz="0" w:space="0" w:color="auto"/>
          <w:bottom w:val="none" w:sz="0" w:space="0" w:color="auto"/>
          <w:right w:val="none" w:sz="0" w:space="0" w:color="auto"/>
          <w:bar w:val="none" w:sz="0" w:color="auto"/>
        </w:pBdr>
        <w:jc w:val="center"/>
        <w:rPr>
          <w:rFonts w:ascii="Arial" w:hAnsi="Arial" w:cs="Arial"/>
          <w:sz w:val="28"/>
          <w:szCs w:val="24"/>
          <w:u w:val="single"/>
        </w:rPr>
      </w:pPr>
      <w:r w:rsidRPr="00451C02">
        <w:rPr>
          <w:rFonts w:ascii="Arial" w:hAnsi="Arial" w:cs="Arial"/>
          <w:sz w:val="28"/>
          <w:szCs w:val="24"/>
          <w:u w:val="single"/>
        </w:rPr>
        <w:t>Tema II</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u w:val="single"/>
        </w:rPr>
      </w:pPr>
    </w:p>
    <w:p w:rsidR="00A832BB" w:rsidRPr="00451C02" w:rsidRDefault="00A832BB" w:rsidP="00967349">
      <w:pPr>
        <w:pStyle w:val="Heading3"/>
        <w:pBdr>
          <w:top w:val="none" w:sz="0" w:space="0" w:color="auto"/>
          <w:left w:val="none" w:sz="0" w:space="0" w:color="auto"/>
          <w:bottom w:val="none" w:sz="0" w:space="0" w:color="auto"/>
          <w:right w:val="none" w:sz="0" w:space="0" w:color="auto"/>
          <w:bar w:val="none" w:sz="0" w:color="auto"/>
        </w:pBdr>
        <w:jc w:val="center"/>
        <w:rPr>
          <w:rFonts w:ascii="Arial" w:hAnsi="Arial" w:cs="Arial"/>
          <w:sz w:val="22"/>
          <w:szCs w:val="22"/>
        </w:rPr>
      </w:pPr>
      <w:r w:rsidRPr="00451C02">
        <w:rPr>
          <w:rFonts w:ascii="Arial" w:hAnsi="Arial" w:cs="Arial"/>
          <w:sz w:val="22"/>
          <w:szCs w:val="22"/>
        </w:rPr>
        <w:t>"ASPECTOS FISCALES DEL CÓDIGO CIVIL Y COMERCIAL DE LA NACIÓN LEY 26.994."</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tabs>
          <w:tab w:val="left" w:pos="6360"/>
        </w:tabs>
        <w:jc w:val="both"/>
        <w:rPr>
          <w:rFonts w:ascii="Arial" w:hAnsi="Arial" w:cs="Arial"/>
        </w:rPr>
      </w:pPr>
      <w:r w:rsidRPr="00451C02">
        <w:rPr>
          <w:rFonts w:ascii="Arial" w:hAnsi="Arial" w:cs="Arial"/>
        </w:rPr>
        <w:tab/>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lang w:val="es-ES_tradnl"/>
        </w:rPr>
      </w:pPr>
      <w:r w:rsidRPr="00451C02">
        <w:rPr>
          <w:rFonts w:ascii="Arial" w:hAnsi="Arial" w:cs="Arial"/>
          <w:sz w:val="24"/>
          <w:lang w:val="es-ES_tradnl"/>
        </w:rPr>
        <w:t>La comisión a cargo del Tema II estuvo integrada por:</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rPr>
      </w:pPr>
      <w:r w:rsidRPr="00451C02">
        <w:rPr>
          <w:rFonts w:ascii="Arial" w:hAnsi="Arial" w:cs="Arial"/>
          <w:sz w:val="24"/>
          <w:lang w:val="es-ES_tradnl"/>
        </w:rPr>
        <w:t>Presidente: Luis OmarFerná</w:t>
      </w:r>
      <w:r w:rsidRPr="00451C02">
        <w:rPr>
          <w:rFonts w:ascii="Arial" w:hAnsi="Arial" w:cs="Arial"/>
          <w:sz w:val="24"/>
        </w:rPr>
        <w:t xml:space="preserve">ndez, </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lang w:val="es-ES_tradnl"/>
        </w:rPr>
      </w:pPr>
      <w:r w:rsidRPr="00451C02">
        <w:rPr>
          <w:rFonts w:ascii="Arial" w:hAnsi="Arial" w:cs="Arial"/>
          <w:sz w:val="24"/>
        </w:rPr>
        <w:t>Secretar</w:t>
      </w:r>
      <w:r w:rsidRPr="00451C02">
        <w:rPr>
          <w:rFonts w:ascii="Arial" w:hAnsi="Arial" w:cs="Arial"/>
          <w:sz w:val="24"/>
          <w:lang w:val="es-ES_tradnl"/>
        </w:rPr>
        <w:t>ia: Verónica Cumo,</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8"/>
          <w:szCs w:val="24"/>
          <w:u w:val="single"/>
        </w:rPr>
      </w:pPr>
      <w:r w:rsidRPr="00451C02">
        <w:rPr>
          <w:rFonts w:ascii="Arial" w:hAnsi="Arial" w:cs="Arial"/>
          <w:sz w:val="24"/>
          <w:lang w:val="es-ES_tradnl"/>
        </w:rPr>
        <w:t>Relatoría a mi cargo, Daniel Malvestiti.</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u w:val="single"/>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 w:val="32"/>
          <w:szCs w:val="24"/>
        </w:rPr>
      </w:pPr>
      <w:r w:rsidRPr="00451C02">
        <w:rPr>
          <w:rFonts w:ascii="Arial" w:hAnsi="Arial" w:cs="Arial"/>
          <w:b/>
          <w:sz w:val="32"/>
          <w:szCs w:val="24"/>
        </w:rPr>
        <w:t>VISTO,</w:t>
      </w:r>
    </w:p>
    <w:p w:rsidR="00A832BB" w:rsidRPr="00451C02" w:rsidRDefault="00A832BB" w:rsidP="00A77405">
      <w:pPr>
        <w:pStyle w:val="CuerpoA"/>
        <w:numPr>
          <w:ilvl w:val="0"/>
          <w:numId w:val="3"/>
        </w:numPr>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lang w:val="es-ES_tradnl"/>
        </w:rPr>
        <w:t xml:space="preserve">Los valiosos aportes de los panelistas: </w:t>
      </w:r>
      <w:r w:rsidRPr="00451C02">
        <w:rPr>
          <w:rFonts w:ascii="Arial" w:hAnsi="Arial" w:cs="Arial"/>
          <w:sz w:val="24"/>
          <w:szCs w:val="24"/>
        </w:rPr>
        <w:t>Gustavo Etman, Diego Fraga,</w:t>
      </w:r>
      <w:r w:rsidRPr="00451C02">
        <w:rPr>
          <w:rFonts w:ascii="Arial" w:hAnsi="Arial" w:cs="Arial"/>
          <w:sz w:val="24"/>
          <w:szCs w:val="24"/>
          <w:lang w:val="es-ES_tradnl"/>
        </w:rPr>
        <w:t xml:space="preserve"> Eduardo Gil Roca y</w:t>
      </w:r>
      <w:r w:rsidRPr="00451C02">
        <w:rPr>
          <w:rFonts w:ascii="Arial" w:hAnsi="Arial" w:cs="Arial"/>
          <w:sz w:val="24"/>
          <w:szCs w:val="24"/>
        </w:rPr>
        <w:t xml:space="preserve"> Eduardo FavierDubois;</w:t>
      </w:r>
    </w:p>
    <w:p w:rsidR="00A832BB" w:rsidRPr="00451C02" w:rsidRDefault="00A832BB" w:rsidP="002011CC">
      <w:pPr>
        <w:pStyle w:val="CuerpoA"/>
        <w:pBdr>
          <w:top w:val="none" w:sz="0" w:space="0" w:color="auto"/>
          <w:left w:val="none" w:sz="0" w:space="0" w:color="auto"/>
          <w:bottom w:val="none" w:sz="0" w:space="0" w:color="auto"/>
          <w:right w:val="none" w:sz="0" w:space="0" w:color="auto"/>
          <w:bar w:val="none" w:sz="0" w:color="auto"/>
        </w:pBdr>
        <w:ind w:left="720"/>
        <w:jc w:val="both"/>
        <w:rPr>
          <w:rFonts w:ascii="Arial" w:hAnsi="Arial" w:cs="Arial"/>
          <w:sz w:val="24"/>
          <w:szCs w:val="24"/>
        </w:rPr>
      </w:pPr>
    </w:p>
    <w:p w:rsidR="00A832BB" w:rsidRPr="00451C02" w:rsidRDefault="00A832BB" w:rsidP="007955A7">
      <w:pPr>
        <w:pStyle w:val="CuerpoA"/>
        <w:numPr>
          <w:ilvl w:val="0"/>
          <w:numId w:val="3"/>
        </w:numPr>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rPr>
        <w:t>Los t</w:t>
      </w:r>
      <w:r w:rsidRPr="00451C02">
        <w:rPr>
          <w:rFonts w:ascii="Arial" w:hAnsi="Arial" w:cs="Arial"/>
          <w:sz w:val="24"/>
          <w:szCs w:val="24"/>
          <w:lang w:val="es-ES_tradnl"/>
        </w:rPr>
        <w:t xml:space="preserve">rabajos de </w:t>
      </w:r>
      <w:r w:rsidRPr="00451C02">
        <w:rPr>
          <w:rFonts w:ascii="Arial" w:hAnsi="Arial" w:cs="Arial"/>
          <w:sz w:val="24"/>
          <w:szCs w:val="24"/>
        </w:rPr>
        <w:t>DarioRajmilovich,</w:t>
      </w:r>
      <w:r w:rsidRPr="00451C02">
        <w:rPr>
          <w:rFonts w:ascii="Arial" w:hAnsi="Arial" w:cs="Arial"/>
          <w:sz w:val="24"/>
          <w:szCs w:val="24"/>
          <w:lang w:val="de-DE"/>
        </w:rPr>
        <w:t>Sergio Siemesen de Bielke,</w:t>
      </w:r>
      <w:r w:rsidRPr="00451C02">
        <w:rPr>
          <w:rFonts w:ascii="Arial" w:hAnsi="Arial" w:cs="Arial"/>
          <w:sz w:val="24"/>
          <w:szCs w:val="24"/>
          <w:lang w:val="es-ES_tradnl"/>
        </w:rPr>
        <w:t>Marcos C</w:t>
      </w:r>
      <w:r w:rsidRPr="00451C02">
        <w:rPr>
          <w:rFonts w:ascii="Arial" w:hAnsi="Arial" w:cs="Arial"/>
          <w:sz w:val="24"/>
          <w:szCs w:val="24"/>
          <w:lang w:val="es-ES_tradnl"/>
        </w:rPr>
        <w:t>a</w:t>
      </w:r>
      <w:r w:rsidRPr="00451C02">
        <w:rPr>
          <w:rFonts w:ascii="Arial" w:hAnsi="Arial" w:cs="Arial"/>
          <w:sz w:val="24"/>
          <w:szCs w:val="24"/>
          <w:lang w:val="es-ES_tradnl"/>
        </w:rPr>
        <w:t>rrillo, Eliana G. Vinocur y Juan C. Galarza, Daniel Pé</w:t>
      </w:r>
      <w:r w:rsidRPr="00451C02">
        <w:rPr>
          <w:rFonts w:ascii="Arial" w:hAnsi="Arial" w:cs="Arial"/>
          <w:sz w:val="24"/>
          <w:szCs w:val="24"/>
        </w:rPr>
        <w:t xml:space="preserve">rez, </w:t>
      </w:r>
      <w:r w:rsidRPr="00451C02">
        <w:rPr>
          <w:rFonts w:ascii="Arial" w:hAnsi="Arial" w:cs="Arial"/>
          <w:sz w:val="24"/>
          <w:szCs w:val="24"/>
          <w:lang w:val="es-ES_tradnl"/>
        </w:rPr>
        <w:t>Silvina Coron</w:t>
      </w:r>
      <w:r w:rsidRPr="00451C02">
        <w:rPr>
          <w:rFonts w:ascii="Arial" w:hAnsi="Arial" w:cs="Arial"/>
          <w:sz w:val="24"/>
          <w:szCs w:val="24"/>
          <w:lang w:val="es-ES_tradnl"/>
        </w:rPr>
        <w:t>e</w:t>
      </w:r>
      <w:r w:rsidRPr="00451C02">
        <w:rPr>
          <w:rFonts w:ascii="Arial" w:hAnsi="Arial" w:cs="Arial"/>
          <w:sz w:val="24"/>
          <w:szCs w:val="24"/>
          <w:lang w:val="es-ES_tradnl"/>
        </w:rPr>
        <w:t>llo y Fabiana Iglesias Araujo;</w:t>
      </w:r>
    </w:p>
    <w:p w:rsidR="00A832BB" w:rsidRPr="00451C02" w:rsidRDefault="00A832BB" w:rsidP="00060C54">
      <w:pPr>
        <w:pStyle w:val="ListParagraph"/>
        <w:pBdr>
          <w:top w:val="none" w:sz="0" w:space="0" w:color="auto"/>
          <w:left w:val="none" w:sz="0" w:space="0" w:color="auto"/>
          <w:bottom w:val="none" w:sz="0" w:space="0" w:color="auto"/>
          <w:right w:val="none" w:sz="0" w:space="0" w:color="auto"/>
          <w:bar w:val="none" w:sz="0" w:color="auto"/>
        </w:pBdr>
        <w:rPr>
          <w:rFonts w:ascii="Arial" w:eastAsia="Times New Roman" w:hAnsi="Arial" w:cs="Arial"/>
          <w:lang w:val="es-AR"/>
        </w:rPr>
      </w:pPr>
    </w:p>
    <w:p w:rsidR="00A832BB" w:rsidRPr="00451C02" w:rsidRDefault="00A832BB" w:rsidP="007955A7">
      <w:pPr>
        <w:pStyle w:val="CuerpoA"/>
        <w:numPr>
          <w:ilvl w:val="0"/>
          <w:numId w:val="3"/>
        </w:numPr>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rPr>
        <w:t>El informe DE RELATORIA;</w:t>
      </w:r>
    </w:p>
    <w:p w:rsidR="00A832BB" w:rsidRPr="00451C02" w:rsidRDefault="00A832BB" w:rsidP="00060C54">
      <w:pPr>
        <w:pStyle w:val="ListParagraph"/>
        <w:pBdr>
          <w:top w:val="none" w:sz="0" w:space="0" w:color="auto"/>
          <w:left w:val="none" w:sz="0" w:space="0" w:color="auto"/>
          <w:bottom w:val="none" w:sz="0" w:space="0" w:color="auto"/>
          <w:right w:val="none" w:sz="0" w:space="0" w:color="auto"/>
          <w:bar w:val="none" w:sz="0" w:color="auto"/>
        </w:pBdr>
        <w:rPr>
          <w:rFonts w:ascii="Arial" w:eastAsia="Times New Roman" w:hAnsi="Arial" w:cs="Arial"/>
        </w:rPr>
      </w:pPr>
    </w:p>
    <w:p w:rsidR="00A832BB" w:rsidRPr="00451C02" w:rsidRDefault="00A832BB" w:rsidP="007955A7">
      <w:pPr>
        <w:pStyle w:val="CuerpoA"/>
        <w:numPr>
          <w:ilvl w:val="0"/>
          <w:numId w:val="3"/>
        </w:numPr>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rPr>
        <w:t>El intercambio de opiniones y el debate entre los asistentes.</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lang w:val="es-ES_tradnl"/>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Cs w:val="24"/>
          <w:lang w:val="es-ES_tradnl"/>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Cs w:val="24"/>
          <w:lang w:val="es-ES_tradnl"/>
        </w:rPr>
      </w:pPr>
      <w:r w:rsidRPr="00451C02">
        <w:rPr>
          <w:rFonts w:ascii="Arial" w:hAnsi="Arial" w:cs="Arial"/>
          <w:b/>
          <w:szCs w:val="24"/>
          <w:lang w:val="es-ES_tradnl"/>
        </w:rPr>
        <w:t>SE CONCLUYE:</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ind w:firstLine="708"/>
        <w:jc w:val="both"/>
        <w:rPr>
          <w:rFonts w:ascii="Arial" w:hAnsi="Arial" w:cs="Arial"/>
          <w:b/>
          <w:sz w:val="24"/>
          <w:szCs w:val="24"/>
        </w:rPr>
      </w:pPr>
      <w:r w:rsidRPr="00451C02">
        <w:rPr>
          <w:rFonts w:ascii="Arial" w:hAnsi="Arial" w:cs="Arial"/>
          <w:b/>
          <w:sz w:val="24"/>
          <w:szCs w:val="24"/>
          <w:lang w:val="es-ES_tradnl"/>
        </w:rPr>
        <w:t>A) Prescripción de los tributos locales:</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spacing w:after="0"/>
        <w:jc w:val="both"/>
        <w:rPr>
          <w:rFonts w:ascii="Arial" w:hAnsi="Arial" w:cs="Arial"/>
          <w:sz w:val="24"/>
          <w:szCs w:val="24"/>
        </w:rPr>
      </w:pPr>
      <w:r w:rsidRPr="00451C02">
        <w:rPr>
          <w:rFonts w:ascii="Arial" w:hAnsi="Arial" w:cs="Arial"/>
          <w:sz w:val="24"/>
          <w:szCs w:val="24"/>
          <w:lang w:val="es-ES_tradnl"/>
        </w:rPr>
        <w:t>La doctrina sobre prescripción de los tributos locales tradicionalmente planteó dificultades interpretativas; zanjadas por el fallo de la CSJN Filcrosa del año 2003.</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spacing w:after="0"/>
        <w:jc w:val="both"/>
        <w:rPr>
          <w:rFonts w:ascii="Arial" w:hAnsi="Arial" w:cs="Arial"/>
          <w:sz w:val="24"/>
          <w:szCs w:val="24"/>
          <w:lang w:val="es-ES_tradnl"/>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spacing w:after="0"/>
        <w:jc w:val="both"/>
        <w:rPr>
          <w:rFonts w:ascii="Arial" w:hAnsi="Arial" w:cs="Arial"/>
          <w:sz w:val="24"/>
          <w:szCs w:val="24"/>
        </w:rPr>
      </w:pPr>
      <w:r w:rsidRPr="00451C02">
        <w:rPr>
          <w:rFonts w:ascii="Arial" w:hAnsi="Arial" w:cs="Arial"/>
          <w:sz w:val="24"/>
          <w:szCs w:val="24"/>
          <w:lang w:val="es-ES_tradnl"/>
        </w:rPr>
        <w:t>Las normas del nuevo código parecen reinstalar el tema de su discusión, la que deberá ser dilucidada desde el punto de vista de su validez constitucional.</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spacing w:after="0"/>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 w:val="24"/>
          <w:szCs w:val="24"/>
        </w:rPr>
      </w:pPr>
      <w:r w:rsidRPr="00451C02">
        <w:rPr>
          <w:rFonts w:ascii="Arial" w:hAnsi="Arial" w:cs="Arial"/>
          <w:b/>
          <w:sz w:val="24"/>
          <w:szCs w:val="24"/>
        </w:rPr>
        <w:tab/>
      </w:r>
      <w:r w:rsidRPr="00451C02">
        <w:rPr>
          <w:rFonts w:ascii="Arial" w:hAnsi="Arial" w:cs="Arial"/>
          <w:b/>
          <w:sz w:val="24"/>
          <w:szCs w:val="24"/>
          <w:lang w:val="es-ES_tradnl"/>
        </w:rPr>
        <w:t xml:space="preserve">B) Sociedad de un solo socio (SAU):   </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lang w:val="es-ES_tradnl"/>
        </w:rPr>
        <w:t>Mantener para la Sociedad Anónima Unipersonal el tratamiento impositivo que la ley establece actualmente para las sociedades de capital.</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 w:val="24"/>
          <w:szCs w:val="24"/>
        </w:rPr>
      </w:pPr>
      <w:r w:rsidRPr="00451C02">
        <w:rPr>
          <w:rFonts w:ascii="Arial" w:hAnsi="Arial" w:cs="Arial"/>
          <w:sz w:val="24"/>
          <w:szCs w:val="24"/>
        </w:rPr>
        <w:tab/>
      </w:r>
      <w:r w:rsidRPr="00451C02">
        <w:rPr>
          <w:rFonts w:ascii="Arial" w:hAnsi="Arial" w:cs="Arial"/>
          <w:b/>
          <w:sz w:val="24"/>
          <w:szCs w:val="24"/>
          <w:lang w:val="es-ES_tradnl"/>
        </w:rPr>
        <w:t>C) Socio aparente:</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lang w:val="es-ES_tradnl"/>
        </w:rPr>
        <w:t>En los casos en que los demás socios compren la totalidad del capital, por apl</w:t>
      </w:r>
      <w:r w:rsidRPr="00451C02">
        <w:rPr>
          <w:rFonts w:ascii="Arial" w:hAnsi="Arial" w:cs="Arial"/>
          <w:sz w:val="24"/>
          <w:szCs w:val="24"/>
          <w:lang w:val="es-ES_tradnl"/>
        </w:rPr>
        <w:t>i</w:t>
      </w:r>
      <w:r w:rsidRPr="00451C02">
        <w:rPr>
          <w:rFonts w:ascii="Arial" w:hAnsi="Arial" w:cs="Arial"/>
          <w:sz w:val="24"/>
          <w:szCs w:val="24"/>
          <w:lang w:val="es-ES_tradnl"/>
        </w:rPr>
        <w:t>cación del principio de realidad económica, el resultado no deberí</w:t>
      </w:r>
      <w:r w:rsidRPr="00451C02">
        <w:rPr>
          <w:rFonts w:ascii="Arial" w:hAnsi="Arial" w:cs="Arial"/>
          <w:sz w:val="24"/>
          <w:szCs w:val="24"/>
          <w:lang w:val="pt-PT"/>
        </w:rPr>
        <w:t>a estar gravado.</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 w:val="24"/>
          <w:szCs w:val="24"/>
        </w:rPr>
      </w:pPr>
      <w:r w:rsidRPr="00451C02">
        <w:rPr>
          <w:rFonts w:ascii="Arial" w:hAnsi="Arial" w:cs="Arial"/>
          <w:sz w:val="24"/>
          <w:szCs w:val="24"/>
        </w:rPr>
        <w:tab/>
      </w:r>
      <w:r w:rsidRPr="00451C02">
        <w:rPr>
          <w:rFonts w:ascii="Arial" w:hAnsi="Arial" w:cs="Arial"/>
          <w:b/>
          <w:sz w:val="24"/>
          <w:szCs w:val="24"/>
        </w:rPr>
        <w:t>D) R</w:t>
      </w:r>
      <w:r w:rsidRPr="00451C02">
        <w:rPr>
          <w:rFonts w:ascii="Arial" w:hAnsi="Arial" w:cs="Arial"/>
          <w:b/>
          <w:sz w:val="24"/>
          <w:szCs w:val="24"/>
          <w:lang w:val="es-ES_tradnl"/>
        </w:rPr>
        <w:t>educción a un único socio en otras</w:t>
      </w:r>
      <w:r w:rsidRPr="00451C02">
        <w:rPr>
          <w:rFonts w:ascii="Arial" w:hAnsi="Arial" w:cs="Arial"/>
          <w:b/>
          <w:sz w:val="24"/>
          <w:szCs w:val="24"/>
          <w:lang w:val="pt-PT"/>
        </w:rPr>
        <w:t xml:space="preserve"> sociedades:</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lang w:val="es-ES_tradnl"/>
        </w:rPr>
        <w:t>Si se considera la primací</w:t>
      </w:r>
      <w:r w:rsidRPr="00451C02">
        <w:rPr>
          <w:rFonts w:ascii="Arial" w:hAnsi="Arial" w:cs="Arial"/>
          <w:sz w:val="24"/>
          <w:szCs w:val="24"/>
          <w:lang w:val="fr-FR"/>
        </w:rPr>
        <w:t>a de la forma jur</w:t>
      </w:r>
      <w:r w:rsidRPr="00451C02">
        <w:rPr>
          <w:rFonts w:ascii="Arial" w:hAnsi="Arial" w:cs="Arial"/>
          <w:sz w:val="24"/>
          <w:szCs w:val="24"/>
          <w:lang w:val="es-ES_tradnl"/>
        </w:rPr>
        <w:t>ídica sobre la realidad económica debería mantenerse el tratamiento fiscal de la sociedad. En caso contrario, d</w:t>
      </w:r>
      <w:r w:rsidRPr="00451C02">
        <w:rPr>
          <w:rFonts w:ascii="Arial" w:hAnsi="Arial" w:cs="Arial"/>
          <w:sz w:val="24"/>
          <w:szCs w:val="24"/>
          <w:lang w:val="es-ES_tradnl"/>
        </w:rPr>
        <w:t>e</w:t>
      </w:r>
      <w:r w:rsidRPr="00451C02">
        <w:rPr>
          <w:rFonts w:ascii="Arial" w:hAnsi="Arial" w:cs="Arial"/>
          <w:sz w:val="24"/>
          <w:szCs w:val="24"/>
          <w:lang w:val="es-ES_tradnl"/>
        </w:rPr>
        <w:t>berí</w:t>
      </w:r>
      <w:r w:rsidRPr="00451C02">
        <w:rPr>
          <w:rFonts w:ascii="Arial" w:hAnsi="Arial" w:cs="Arial"/>
          <w:sz w:val="24"/>
          <w:szCs w:val="24"/>
        </w:rPr>
        <w:t>a d</w:t>
      </w:r>
      <w:r w:rsidRPr="00451C02">
        <w:rPr>
          <w:rFonts w:ascii="Arial" w:hAnsi="Arial" w:cs="Arial"/>
          <w:sz w:val="24"/>
          <w:szCs w:val="24"/>
          <w:lang w:val="es-ES_tradnl"/>
        </w:rPr>
        <w:t>ársele el tratamiento de empresa unipersonal.</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 w:val="24"/>
          <w:szCs w:val="24"/>
        </w:rPr>
      </w:pPr>
      <w:r w:rsidRPr="00451C02">
        <w:rPr>
          <w:rFonts w:ascii="Arial" w:hAnsi="Arial" w:cs="Arial"/>
          <w:sz w:val="24"/>
          <w:szCs w:val="24"/>
        </w:rPr>
        <w:tab/>
      </w:r>
      <w:r w:rsidRPr="00451C02">
        <w:rPr>
          <w:rFonts w:ascii="Arial" w:hAnsi="Arial" w:cs="Arial"/>
          <w:b/>
          <w:sz w:val="24"/>
          <w:szCs w:val="24"/>
        </w:rPr>
        <w:t>E</w:t>
      </w:r>
      <w:r w:rsidRPr="00451C02">
        <w:rPr>
          <w:rFonts w:ascii="Arial" w:hAnsi="Arial" w:cs="Arial"/>
          <w:b/>
          <w:sz w:val="24"/>
          <w:szCs w:val="24"/>
          <w:lang w:val="es-ES_tradnl"/>
        </w:rPr>
        <w:t>) Sociedades civiles, de hecho e irregulares:</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rPr>
        <w:t>Deber</w:t>
      </w:r>
      <w:r w:rsidRPr="00451C02">
        <w:rPr>
          <w:rFonts w:ascii="Arial" w:hAnsi="Arial" w:cs="Arial"/>
          <w:sz w:val="24"/>
          <w:szCs w:val="24"/>
          <w:lang w:val="es-ES_tradnl"/>
        </w:rPr>
        <w:t>án seguir manteniendo el tratamiento tributario actual, como sociedades “</w:t>
      </w:r>
      <w:r w:rsidRPr="00451C02">
        <w:rPr>
          <w:rFonts w:ascii="Arial" w:hAnsi="Arial" w:cs="Arial"/>
          <w:sz w:val="24"/>
          <w:szCs w:val="24"/>
          <w:lang w:val="it-IT"/>
        </w:rPr>
        <w:t>simples</w:t>
      </w:r>
      <w:r w:rsidRPr="00451C02">
        <w:rPr>
          <w:rFonts w:ascii="Arial" w:hAnsi="Arial" w:cs="Arial"/>
          <w:sz w:val="24"/>
          <w:szCs w:val="24"/>
          <w:lang w:val="es-ES_tradnl"/>
        </w:rPr>
        <w:t>”: o sea tributan en cabeza de sus socios. En el caso de las sociedades de profesionales, mantiene su vigencia el criterio del máximo tribunal en el fallo “</w:t>
      </w:r>
      <w:r w:rsidRPr="00451C02">
        <w:rPr>
          <w:rFonts w:ascii="Arial" w:hAnsi="Arial" w:cs="Arial"/>
          <w:sz w:val="24"/>
          <w:szCs w:val="24"/>
        </w:rPr>
        <w:t>Paracha Jorge Daniel</w:t>
      </w:r>
      <w:r w:rsidRPr="00451C02">
        <w:rPr>
          <w:rFonts w:ascii="Arial" w:hAnsi="Arial" w:cs="Arial"/>
          <w:sz w:val="24"/>
          <w:szCs w:val="24"/>
          <w:lang w:val="es-ES_tradnl"/>
        </w:rPr>
        <w:t>”.</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spacing w:line="240" w:lineRule="auto"/>
        <w:jc w:val="both"/>
        <w:rPr>
          <w:rFonts w:ascii="Arial" w:hAnsi="Arial" w:cs="Arial"/>
          <w:b/>
          <w:sz w:val="24"/>
          <w:szCs w:val="24"/>
        </w:rPr>
      </w:pPr>
      <w:r w:rsidRPr="00451C02">
        <w:rPr>
          <w:rFonts w:ascii="Arial" w:hAnsi="Arial" w:cs="Arial"/>
          <w:sz w:val="24"/>
          <w:szCs w:val="24"/>
          <w:lang w:val="pt-PT"/>
        </w:rPr>
        <w:tab/>
      </w:r>
      <w:r w:rsidRPr="00451C02">
        <w:rPr>
          <w:rFonts w:ascii="Arial" w:hAnsi="Arial" w:cs="Arial"/>
          <w:b/>
          <w:sz w:val="24"/>
          <w:szCs w:val="24"/>
          <w:lang w:val="pt-PT"/>
        </w:rPr>
        <w:t>F) Sociedades entre c</w:t>
      </w:r>
      <w:r w:rsidRPr="00451C02">
        <w:rPr>
          <w:rFonts w:ascii="Arial" w:hAnsi="Arial" w:cs="Arial"/>
          <w:b/>
          <w:sz w:val="24"/>
          <w:szCs w:val="24"/>
          <w:lang w:val="es-ES_tradnl"/>
        </w:rPr>
        <w:t>ó</w:t>
      </w:r>
      <w:r w:rsidRPr="00451C02">
        <w:rPr>
          <w:rFonts w:ascii="Arial" w:hAnsi="Arial" w:cs="Arial"/>
          <w:b/>
          <w:sz w:val="24"/>
          <w:szCs w:val="24"/>
        </w:rPr>
        <w:t>nyuges:</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spacing w:line="240" w:lineRule="auto"/>
        <w:jc w:val="both"/>
        <w:rPr>
          <w:rFonts w:ascii="Arial" w:hAnsi="Arial" w:cs="Arial"/>
          <w:sz w:val="24"/>
          <w:szCs w:val="24"/>
        </w:rPr>
      </w:pPr>
      <w:r w:rsidRPr="00451C02">
        <w:rPr>
          <w:rFonts w:ascii="Arial" w:hAnsi="Arial" w:cs="Arial"/>
          <w:sz w:val="24"/>
          <w:szCs w:val="24"/>
          <w:lang w:val="es-ES_tradnl"/>
        </w:rPr>
        <w:t>El tratamiento impositivo actual no debería alterarse.</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spacing w:line="240" w:lineRule="auto"/>
        <w:jc w:val="both"/>
        <w:rPr>
          <w:rFonts w:ascii="Arial" w:hAnsi="Arial" w:cs="Arial"/>
          <w:sz w:val="24"/>
          <w:szCs w:val="24"/>
        </w:rPr>
      </w:pP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b/>
          <w:sz w:val="24"/>
          <w:szCs w:val="24"/>
        </w:rPr>
      </w:pPr>
      <w:r w:rsidRPr="00451C02">
        <w:rPr>
          <w:rFonts w:ascii="Arial" w:hAnsi="Arial" w:cs="Arial"/>
          <w:sz w:val="24"/>
          <w:szCs w:val="24"/>
        </w:rPr>
        <w:tab/>
      </w:r>
      <w:r w:rsidRPr="00451C02">
        <w:rPr>
          <w:rFonts w:ascii="Arial" w:hAnsi="Arial" w:cs="Arial"/>
          <w:b/>
          <w:sz w:val="24"/>
          <w:szCs w:val="24"/>
          <w:lang w:val="es-ES_tradnl"/>
        </w:rPr>
        <w:t>G) Derechos reales:</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lang w:val="es-ES_tradnl"/>
        </w:rPr>
        <w:t>En lo atinente al impuesto a las ganancias deberán dictarse normas para est</w:t>
      </w:r>
      <w:r w:rsidRPr="00451C02">
        <w:rPr>
          <w:rFonts w:ascii="Arial" w:hAnsi="Arial" w:cs="Arial"/>
          <w:sz w:val="24"/>
          <w:szCs w:val="24"/>
          <w:lang w:val="es-ES_tradnl"/>
        </w:rPr>
        <w:t>a</w:t>
      </w:r>
      <w:r w:rsidRPr="00451C02">
        <w:rPr>
          <w:rFonts w:ascii="Arial" w:hAnsi="Arial" w:cs="Arial"/>
          <w:sz w:val="24"/>
          <w:szCs w:val="24"/>
          <w:lang w:val="es-ES_tradnl"/>
        </w:rPr>
        <w:t>blecer los costos y resultados asignables a las operaciones con los nuevos d</w:t>
      </w:r>
      <w:r w:rsidRPr="00451C02">
        <w:rPr>
          <w:rFonts w:ascii="Arial" w:hAnsi="Arial" w:cs="Arial"/>
          <w:sz w:val="24"/>
          <w:szCs w:val="24"/>
          <w:lang w:val="es-ES_tradnl"/>
        </w:rPr>
        <w:t>e</w:t>
      </w:r>
      <w:r w:rsidRPr="00451C02">
        <w:rPr>
          <w:rFonts w:ascii="Arial" w:hAnsi="Arial" w:cs="Arial"/>
          <w:sz w:val="24"/>
          <w:szCs w:val="24"/>
          <w:lang w:val="es-ES_tradnl"/>
        </w:rPr>
        <w:t>rechos reales, entre otras, se requieren pautas sobre afectación por el  superf</w:t>
      </w:r>
      <w:r w:rsidRPr="00451C02">
        <w:rPr>
          <w:rFonts w:ascii="Arial" w:hAnsi="Arial" w:cs="Arial"/>
          <w:sz w:val="24"/>
          <w:szCs w:val="24"/>
          <w:lang w:val="es-ES_tradnl"/>
        </w:rPr>
        <w:t>i</w:t>
      </w:r>
      <w:r w:rsidRPr="00451C02">
        <w:rPr>
          <w:rFonts w:ascii="Arial" w:hAnsi="Arial" w:cs="Arial"/>
          <w:sz w:val="24"/>
          <w:szCs w:val="24"/>
          <w:lang w:val="es-ES_tradnl"/>
        </w:rPr>
        <w:t>ciario de su derecho a locación u otros derechos reales (p.e. propiedad hor</w:t>
      </w:r>
      <w:r w:rsidRPr="00451C02">
        <w:rPr>
          <w:rFonts w:ascii="Arial" w:hAnsi="Arial" w:cs="Arial"/>
          <w:sz w:val="24"/>
          <w:szCs w:val="24"/>
          <w:lang w:val="es-ES_tradnl"/>
        </w:rPr>
        <w:t>i</w:t>
      </w:r>
      <w:r w:rsidRPr="00451C02">
        <w:rPr>
          <w:rFonts w:ascii="Arial" w:hAnsi="Arial" w:cs="Arial"/>
          <w:sz w:val="24"/>
          <w:szCs w:val="24"/>
          <w:lang w:val="es-ES_tradnl"/>
        </w:rPr>
        <w:t>zontal o condominio) y su explotación. Los costos y resultados de todas estas alternativas requieren regulaciones impositivas específicas para su valuación y determinació</w:t>
      </w:r>
      <w:r w:rsidRPr="00451C02">
        <w:rPr>
          <w:rFonts w:ascii="Arial" w:hAnsi="Arial" w:cs="Arial"/>
          <w:sz w:val="24"/>
          <w:szCs w:val="24"/>
        </w:rPr>
        <w:t>n.</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sz w:val="24"/>
          <w:szCs w:val="24"/>
        </w:rPr>
      </w:pPr>
      <w:r w:rsidRPr="00451C02">
        <w:rPr>
          <w:rFonts w:ascii="Arial" w:hAnsi="Arial" w:cs="Arial"/>
          <w:sz w:val="24"/>
          <w:szCs w:val="24"/>
          <w:lang w:val="es-ES_tradnl"/>
        </w:rPr>
        <w:t>En lo relativo al impuesto al valor agregado, su legislación actual no prevé la figura, lo cual puede posibilitar su utilización en maniobras de planificación fi</w:t>
      </w:r>
      <w:r w:rsidRPr="00451C02">
        <w:rPr>
          <w:rFonts w:ascii="Arial" w:hAnsi="Arial" w:cs="Arial"/>
          <w:sz w:val="24"/>
          <w:szCs w:val="24"/>
          <w:lang w:val="es-ES_tradnl"/>
        </w:rPr>
        <w:t>s</w:t>
      </w:r>
      <w:r w:rsidRPr="00451C02">
        <w:rPr>
          <w:rFonts w:ascii="Arial" w:hAnsi="Arial" w:cs="Arial"/>
          <w:sz w:val="24"/>
          <w:szCs w:val="24"/>
          <w:lang w:val="es-ES_tradnl"/>
        </w:rPr>
        <w:t xml:space="preserve">cal que eludan este tributo. Debería legislarse en el sentido de prever que la cesión onerosa del derecho de superficie tenga un tratamiento similar al de la locación de inmuebles (cuando la contrapartida sea un canon periódico) o al de la enajenación de estos bienes, en los demás casos. </w:t>
      </w:r>
    </w:p>
    <w:p w:rsidR="00A832BB" w:rsidRPr="00451C02" w:rsidRDefault="00A832BB" w:rsidP="007E200D">
      <w:pPr>
        <w:pStyle w:val="CuerpoA"/>
        <w:pBdr>
          <w:top w:val="none" w:sz="0" w:space="0" w:color="auto"/>
          <w:left w:val="none" w:sz="0" w:space="0" w:color="auto"/>
          <w:bottom w:val="none" w:sz="0" w:space="0" w:color="auto"/>
          <w:right w:val="none" w:sz="0" w:space="0" w:color="auto"/>
          <w:bar w:val="none" w:sz="0" w:color="auto"/>
        </w:pBdr>
        <w:jc w:val="both"/>
        <w:rPr>
          <w:rFonts w:ascii="Arial" w:hAnsi="Arial" w:cs="Arial"/>
        </w:rPr>
      </w:pPr>
      <w:r w:rsidRPr="00451C02">
        <w:rPr>
          <w:rFonts w:ascii="Arial" w:hAnsi="Arial" w:cs="Arial"/>
          <w:sz w:val="24"/>
          <w:szCs w:val="24"/>
          <w:lang w:val="es-ES_tradnl"/>
        </w:rPr>
        <w:t xml:space="preserve">Por su parte, la reversión de los bienes existentes al finalizar el derecho real, en cabeza del nudo propietario, debería tener un tratamiento similar al de la construcción sobre inmueble ajeno. </w:t>
      </w:r>
    </w:p>
    <w:sectPr w:rsidR="00A832BB" w:rsidRPr="00451C02" w:rsidSect="008D4E9F">
      <w:headerReference w:type="default" r:id="rId7"/>
      <w:footerReference w:type="default" r:id="rId8"/>
      <w:pgSz w:w="11900" w:h="16840"/>
      <w:pgMar w:top="1417" w:right="1701" w:bottom="1417" w:left="1701" w:header="708" w:footer="708"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2BB" w:rsidRDefault="00A832BB">
      <w:pPr>
        <w:pBdr>
          <w:top w:val="none" w:sz="0" w:space="0" w:color="auto"/>
          <w:left w:val="none" w:sz="0" w:space="0" w:color="auto"/>
          <w:bottom w:val="none" w:sz="0" w:space="0" w:color="auto"/>
          <w:right w:val="none" w:sz="0" w:space="0" w:color="auto"/>
          <w:bar w:val="none" w:sz="0" w:color="auto"/>
        </w:pBdr>
      </w:pPr>
      <w:r>
        <w:separator/>
      </w:r>
    </w:p>
  </w:endnote>
  <w:endnote w:type="continuationSeparator" w:id="1">
    <w:p w:rsidR="00A832BB" w:rsidRDefault="00A832BB">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30204"/>
    <w:charset w:val="00"/>
    <w:family w:val="swiss"/>
    <w:pitch w:val="variable"/>
    <w:sig w:usb0="20002A87" w:usb1="00000000" w:usb2="00000000" w:usb3="00000000" w:csb0="000001FF" w:csb1="00000000"/>
  </w:font>
  <w:font w:name="Segoe UI">
    <w:panose1 w:val="020B0502040204020203"/>
    <w:charset w:val="00"/>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BB" w:rsidRDefault="00A832BB">
    <w:pPr>
      <w:pStyle w:val="Cabeceraypie"/>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2BB" w:rsidRDefault="00A832BB">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1">
    <w:p w:rsidR="00A832BB" w:rsidRDefault="00A832BB">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BB" w:rsidRDefault="00A832BB">
    <w:pPr>
      <w:pStyle w:val="Cabeceraypie"/>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665DC"/>
    <w:multiLevelType w:val="multilevel"/>
    <w:tmpl w:val="D766FE88"/>
    <w:styleLink w:val="Estiloimportado1"/>
    <w:lvl w:ilvl="0">
      <w:numFmt w:val="bullet"/>
      <w:lvlText w:val="-"/>
      <w:lvlJc w:val="left"/>
      <w:pPr>
        <w:tabs>
          <w:tab w:val="num" w:pos="240"/>
        </w:tabs>
        <w:ind w:left="240" w:hanging="240"/>
      </w:pPr>
      <w:rPr>
        <w:rFonts w:ascii="Arial" w:eastAsia="Times New Roman" w:hAnsi="Arial"/>
        <w:position w:val="0"/>
        <w:sz w:val="22"/>
      </w:rPr>
    </w:lvl>
    <w:lvl w:ilvl="1">
      <w:start w:val="1"/>
      <w:numFmt w:val="bullet"/>
      <w:lvlText w:val="-"/>
      <w:lvlJc w:val="left"/>
      <w:pPr>
        <w:tabs>
          <w:tab w:val="num" w:pos="545"/>
        </w:tabs>
        <w:ind w:left="545" w:hanging="305"/>
      </w:pPr>
      <w:rPr>
        <w:rFonts w:ascii="Arial" w:eastAsia="Times New Roman" w:hAnsi="Arial"/>
        <w:position w:val="0"/>
        <w:sz w:val="24"/>
      </w:rPr>
    </w:lvl>
    <w:lvl w:ilvl="2">
      <w:start w:val="1"/>
      <w:numFmt w:val="bullet"/>
      <w:lvlText w:val="-"/>
      <w:lvlJc w:val="left"/>
      <w:pPr>
        <w:tabs>
          <w:tab w:val="num" w:pos="785"/>
        </w:tabs>
        <w:ind w:left="785" w:hanging="305"/>
      </w:pPr>
      <w:rPr>
        <w:rFonts w:ascii="Arial" w:eastAsia="Times New Roman" w:hAnsi="Arial"/>
        <w:position w:val="0"/>
        <w:sz w:val="24"/>
      </w:rPr>
    </w:lvl>
    <w:lvl w:ilvl="3">
      <w:start w:val="1"/>
      <w:numFmt w:val="bullet"/>
      <w:lvlText w:val="-"/>
      <w:lvlJc w:val="left"/>
      <w:pPr>
        <w:tabs>
          <w:tab w:val="num" w:pos="1025"/>
        </w:tabs>
        <w:ind w:left="1025" w:hanging="305"/>
      </w:pPr>
      <w:rPr>
        <w:rFonts w:ascii="Arial" w:eastAsia="Times New Roman" w:hAnsi="Arial"/>
        <w:position w:val="0"/>
        <w:sz w:val="24"/>
      </w:rPr>
    </w:lvl>
    <w:lvl w:ilvl="4">
      <w:start w:val="1"/>
      <w:numFmt w:val="bullet"/>
      <w:lvlText w:val="-"/>
      <w:lvlJc w:val="left"/>
      <w:pPr>
        <w:tabs>
          <w:tab w:val="num" w:pos="1265"/>
        </w:tabs>
        <w:ind w:left="1265" w:hanging="305"/>
      </w:pPr>
      <w:rPr>
        <w:rFonts w:ascii="Arial" w:eastAsia="Times New Roman" w:hAnsi="Arial"/>
        <w:position w:val="0"/>
        <w:sz w:val="24"/>
      </w:rPr>
    </w:lvl>
    <w:lvl w:ilvl="5">
      <w:start w:val="1"/>
      <w:numFmt w:val="bullet"/>
      <w:lvlText w:val="-"/>
      <w:lvlJc w:val="left"/>
      <w:pPr>
        <w:tabs>
          <w:tab w:val="num" w:pos="1505"/>
        </w:tabs>
        <w:ind w:left="1505" w:hanging="305"/>
      </w:pPr>
      <w:rPr>
        <w:rFonts w:ascii="Arial" w:eastAsia="Times New Roman" w:hAnsi="Arial"/>
        <w:position w:val="0"/>
        <w:sz w:val="24"/>
      </w:rPr>
    </w:lvl>
    <w:lvl w:ilvl="6">
      <w:start w:val="1"/>
      <w:numFmt w:val="bullet"/>
      <w:lvlText w:val="-"/>
      <w:lvlJc w:val="left"/>
      <w:pPr>
        <w:tabs>
          <w:tab w:val="num" w:pos="1745"/>
        </w:tabs>
        <w:ind w:left="1745" w:hanging="305"/>
      </w:pPr>
      <w:rPr>
        <w:rFonts w:ascii="Arial" w:eastAsia="Times New Roman" w:hAnsi="Arial"/>
        <w:position w:val="0"/>
        <w:sz w:val="24"/>
      </w:rPr>
    </w:lvl>
    <w:lvl w:ilvl="7">
      <w:start w:val="1"/>
      <w:numFmt w:val="bullet"/>
      <w:lvlText w:val="-"/>
      <w:lvlJc w:val="left"/>
      <w:pPr>
        <w:tabs>
          <w:tab w:val="num" w:pos="1985"/>
        </w:tabs>
        <w:ind w:left="1985" w:hanging="305"/>
      </w:pPr>
      <w:rPr>
        <w:rFonts w:ascii="Arial" w:eastAsia="Times New Roman" w:hAnsi="Arial"/>
        <w:position w:val="0"/>
        <w:sz w:val="24"/>
      </w:rPr>
    </w:lvl>
    <w:lvl w:ilvl="8">
      <w:start w:val="1"/>
      <w:numFmt w:val="bullet"/>
      <w:lvlText w:val="-"/>
      <w:lvlJc w:val="left"/>
      <w:pPr>
        <w:tabs>
          <w:tab w:val="num" w:pos="2225"/>
        </w:tabs>
        <w:ind w:left="2225" w:hanging="305"/>
      </w:pPr>
      <w:rPr>
        <w:rFonts w:ascii="Arial" w:eastAsia="Times New Roman" w:hAnsi="Arial"/>
        <w:position w:val="0"/>
        <w:sz w:val="24"/>
      </w:rPr>
    </w:lvl>
  </w:abstractNum>
  <w:abstractNum w:abstractNumId="1">
    <w:nsid w:val="3EC67473"/>
    <w:multiLevelType w:val="multilevel"/>
    <w:tmpl w:val="46D4959E"/>
    <w:lvl w:ilvl="0">
      <w:start w:val="1"/>
      <w:numFmt w:val="bullet"/>
      <w:lvlText w:val="-"/>
      <w:lvlJc w:val="left"/>
      <w:pPr>
        <w:tabs>
          <w:tab w:val="num" w:pos="240"/>
        </w:tabs>
        <w:ind w:left="240" w:hanging="240"/>
      </w:pPr>
      <w:rPr>
        <w:rFonts w:ascii="Arial" w:eastAsia="Times New Roman" w:hAnsi="Arial"/>
        <w:position w:val="0"/>
        <w:sz w:val="24"/>
      </w:rPr>
    </w:lvl>
    <w:lvl w:ilvl="1">
      <w:start w:val="1"/>
      <w:numFmt w:val="bullet"/>
      <w:lvlText w:val="-"/>
      <w:lvlJc w:val="left"/>
      <w:pPr>
        <w:tabs>
          <w:tab w:val="num" w:pos="545"/>
        </w:tabs>
        <w:ind w:left="545" w:hanging="305"/>
      </w:pPr>
      <w:rPr>
        <w:rFonts w:ascii="Arial" w:eastAsia="Times New Roman" w:hAnsi="Arial"/>
        <w:position w:val="0"/>
        <w:sz w:val="24"/>
      </w:rPr>
    </w:lvl>
    <w:lvl w:ilvl="2">
      <w:start w:val="1"/>
      <w:numFmt w:val="bullet"/>
      <w:lvlText w:val="-"/>
      <w:lvlJc w:val="left"/>
      <w:pPr>
        <w:tabs>
          <w:tab w:val="num" w:pos="785"/>
        </w:tabs>
        <w:ind w:left="785" w:hanging="305"/>
      </w:pPr>
      <w:rPr>
        <w:rFonts w:ascii="Arial" w:eastAsia="Times New Roman" w:hAnsi="Arial"/>
        <w:position w:val="0"/>
        <w:sz w:val="24"/>
      </w:rPr>
    </w:lvl>
    <w:lvl w:ilvl="3">
      <w:start w:val="1"/>
      <w:numFmt w:val="bullet"/>
      <w:lvlText w:val="-"/>
      <w:lvlJc w:val="left"/>
      <w:pPr>
        <w:tabs>
          <w:tab w:val="num" w:pos="1025"/>
        </w:tabs>
        <w:ind w:left="1025" w:hanging="305"/>
      </w:pPr>
      <w:rPr>
        <w:rFonts w:ascii="Arial" w:eastAsia="Times New Roman" w:hAnsi="Arial"/>
        <w:position w:val="0"/>
        <w:sz w:val="24"/>
      </w:rPr>
    </w:lvl>
    <w:lvl w:ilvl="4">
      <w:start w:val="1"/>
      <w:numFmt w:val="bullet"/>
      <w:lvlText w:val="-"/>
      <w:lvlJc w:val="left"/>
      <w:pPr>
        <w:tabs>
          <w:tab w:val="num" w:pos="1265"/>
        </w:tabs>
        <w:ind w:left="1265" w:hanging="305"/>
      </w:pPr>
      <w:rPr>
        <w:rFonts w:ascii="Arial" w:eastAsia="Times New Roman" w:hAnsi="Arial"/>
        <w:position w:val="0"/>
        <w:sz w:val="24"/>
      </w:rPr>
    </w:lvl>
    <w:lvl w:ilvl="5">
      <w:start w:val="1"/>
      <w:numFmt w:val="bullet"/>
      <w:lvlText w:val="-"/>
      <w:lvlJc w:val="left"/>
      <w:pPr>
        <w:tabs>
          <w:tab w:val="num" w:pos="1505"/>
        </w:tabs>
        <w:ind w:left="1505" w:hanging="305"/>
      </w:pPr>
      <w:rPr>
        <w:rFonts w:ascii="Arial" w:eastAsia="Times New Roman" w:hAnsi="Arial"/>
        <w:position w:val="0"/>
        <w:sz w:val="24"/>
      </w:rPr>
    </w:lvl>
    <w:lvl w:ilvl="6">
      <w:start w:val="1"/>
      <w:numFmt w:val="bullet"/>
      <w:lvlText w:val="-"/>
      <w:lvlJc w:val="left"/>
      <w:pPr>
        <w:tabs>
          <w:tab w:val="num" w:pos="1745"/>
        </w:tabs>
        <w:ind w:left="1745" w:hanging="305"/>
      </w:pPr>
      <w:rPr>
        <w:rFonts w:ascii="Arial" w:eastAsia="Times New Roman" w:hAnsi="Arial"/>
        <w:position w:val="0"/>
        <w:sz w:val="24"/>
      </w:rPr>
    </w:lvl>
    <w:lvl w:ilvl="7">
      <w:start w:val="1"/>
      <w:numFmt w:val="bullet"/>
      <w:lvlText w:val="-"/>
      <w:lvlJc w:val="left"/>
      <w:pPr>
        <w:tabs>
          <w:tab w:val="num" w:pos="1985"/>
        </w:tabs>
        <w:ind w:left="1985" w:hanging="305"/>
      </w:pPr>
      <w:rPr>
        <w:rFonts w:ascii="Arial" w:eastAsia="Times New Roman" w:hAnsi="Arial"/>
        <w:position w:val="0"/>
        <w:sz w:val="24"/>
      </w:rPr>
    </w:lvl>
    <w:lvl w:ilvl="8">
      <w:start w:val="1"/>
      <w:numFmt w:val="bullet"/>
      <w:lvlText w:val="-"/>
      <w:lvlJc w:val="left"/>
      <w:pPr>
        <w:tabs>
          <w:tab w:val="num" w:pos="2225"/>
        </w:tabs>
        <w:ind w:left="2225" w:hanging="305"/>
      </w:pPr>
      <w:rPr>
        <w:rFonts w:ascii="Arial" w:eastAsia="Times New Roman" w:hAnsi="Arial"/>
        <w:position w:val="0"/>
        <w:sz w:val="24"/>
      </w:rPr>
    </w:lvl>
  </w:abstractNum>
  <w:abstractNum w:abstractNumId="2">
    <w:nsid w:val="43EF5B87"/>
    <w:multiLevelType w:val="hybridMultilevel"/>
    <w:tmpl w:val="993AEDF6"/>
    <w:lvl w:ilvl="0" w:tplc="A94E8542">
      <w:start w:val="1"/>
      <w:numFmt w:val="lowerLetter"/>
      <w:lvlText w:val="%1)"/>
      <w:lvlJc w:val="left"/>
      <w:pPr>
        <w:ind w:left="720" w:hanging="360"/>
      </w:pPr>
      <w:rPr>
        <w:rFonts w:eastAsia="Times New Roman"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1AB5"/>
    <w:rsid w:val="00060C54"/>
    <w:rsid w:val="002011CC"/>
    <w:rsid w:val="00451C02"/>
    <w:rsid w:val="004D4E17"/>
    <w:rsid w:val="0055532D"/>
    <w:rsid w:val="005B6840"/>
    <w:rsid w:val="006735BA"/>
    <w:rsid w:val="007955A7"/>
    <w:rsid w:val="007E200D"/>
    <w:rsid w:val="00802FCD"/>
    <w:rsid w:val="00845A91"/>
    <w:rsid w:val="008D4E9F"/>
    <w:rsid w:val="00942551"/>
    <w:rsid w:val="00967349"/>
    <w:rsid w:val="009E5C1F"/>
    <w:rsid w:val="00A77405"/>
    <w:rsid w:val="00A832BB"/>
    <w:rsid w:val="00B21A67"/>
    <w:rsid w:val="00B36F3B"/>
    <w:rsid w:val="00D058C0"/>
    <w:rsid w:val="00D21AB5"/>
    <w:rsid w:val="00DD2976"/>
    <w:rsid w:val="00F42966"/>
    <w:rsid w:val="00FC66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E9F"/>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paragraph" w:styleId="Heading3">
    <w:name w:val="heading 3"/>
    <w:basedOn w:val="Normal"/>
    <w:next w:val="CuerpoA"/>
    <w:link w:val="Heading3Char"/>
    <w:uiPriority w:val="99"/>
    <w:qFormat/>
    <w:rsid w:val="008D4E9F"/>
    <w:pPr>
      <w:keepNext/>
      <w:spacing w:before="240" w:after="60"/>
      <w:outlineLvl w:val="2"/>
    </w:pPr>
    <w:rPr>
      <w:rFonts w:ascii="Calibri" w:hAnsi="Calibri" w:cs="Calibri"/>
      <w:b/>
      <w:bCs/>
      <w:color w:val="000000"/>
      <w:sz w:val="26"/>
      <w:szCs w:val="26"/>
      <w:u w:color="000000"/>
      <w:lang w:val="es-ES_tradnl"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4C478C"/>
    <w:rPr>
      <w:rFonts w:asciiTheme="majorHAnsi" w:eastAsiaTheme="majorEastAsia" w:hAnsiTheme="majorHAnsi" w:cstheme="majorBidi"/>
      <w:b/>
      <w:bCs/>
      <w:sz w:val="26"/>
      <w:szCs w:val="26"/>
      <w:lang w:val="en-US" w:eastAsia="en-US"/>
    </w:rPr>
  </w:style>
  <w:style w:type="character" w:styleId="Hyperlink">
    <w:name w:val="Hyperlink"/>
    <w:basedOn w:val="DefaultParagraphFont"/>
    <w:uiPriority w:val="99"/>
    <w:rsid w:val="008D4E9F"/>
    <w:rPr>
      <w:rFonts w:cs="Times New Roman"/>
      <w:u w:val="single"/>
    </w:rPr>
  </w:style>
  <w:style w:type="table" w:customStyle="1" w:styleId="TableNormal1">
    <w:name w:val="Table Normal1"/>
    <w:uiPriority w:val="99"/>
    <w:rsid w:val="008D4E9F"/>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rPr>
    <w:tblPr>
      <w:tblInd w:w="0" w:type="dxa"/>
      <w:tblCellMar>
        <w:top w:w="0" w:type="dxa"/>
        <w:left w:w="0" w:type="dxa"/>
        <w:bottom w:w="0" w:type="dxa"/>
        <w:right w:w="0" w:type="dxa"/>
      </w:tblCellMar>
    </w:tblPr>
  </w:style>
  <w:style w:type="paragraph" w:customStyle="1" w:styleId="Cabeceraypie">
    <w:name w:val="Cabecera y pie"/>
    <w:uiPriority w:val="99"/>
    <w:rsid w:val="008D4E9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Arial Unicode MS" w:cs="Arial Unicode MS"/>
      <w:color w:val="000000"/>
      <w:sz w:val="24"/>
      <w:szCs w:val="24"/>
    </w:rPr>
  </w:style>
  <w:style w:type="paragraph" w:customStyle="1" w:styleId="CuerpoA">
    <w:name w:val="Cuerpo A"/>
    <w:uiPriority w:val="99"/>
    <w:rsid w:val="008D4E9F"/>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ascii="Calibri" w:hAnsi="Calibri" w:cs="Calibri"/>
      <w:color w:val="000000"/>
      <w:u w:color="000000"/>
    </w:rPr>
  </w:style>
  <w:style w:type="paragraph" w:customStyle="1" w:styleId="Default">
    <w:name w:val="Default"/>
    <w:uiPriority w:val="99"/>
    <w:rsid w:val="008D4E9F"/>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ascii="Calibri" w:hAnsi="Calibri" w:cs="Calibri"/>
      <w:color w:val="000000"/>
      <w:sz w:val="24"/>
      <w:szCs w:val="24"/>
      <w:u w:color="000000"/>
      <w:lang w:val="es-ES_tradnl"/>
    </w:rPr>
  </w:style>
  <w:style w:type="paragraph" w:styleId="BalloonText">
    <w:name w:val="Balloon Text"/>
    <w:basedOn w:val="Normal"/>
    <w:link w:val="BalloonTextChar"/>
    <w:uiPriority w:val="99"/>
    <w:semiHidden/>
    <w:rsid w:val="00802FC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02FCD"/>
    <w:rPr>
      <w:rFonts w:ascii="Segoe UI" w:hAnsi="Segoe UI" w:cs="Segoe UI"/>
      <w:sz w:val="18"/>
      <w:szCs w:val="18"/>
      <w:lang w:val="en-US" w:eastAsia="en-US"/>
    </w:rPr>
  </w:style>
  <w:style w:type="paragraph" w:styleId="ListParagraph">
    <w:name w:val="List Paragraph"/>
    <w:basedOn w:val="Normal"/>
    <w:uiPriority w:val="99"/>
    <w:qFormat/>
    <w:rsid w:val="00060C54"/>
    <w:pPr>
      <w:ind w:left="720"/>
      <w:contextualSpacing/>
    </w:pPr>
  </w:style>
  <w:style w:type="numbering" w:customStyle="1" w:styleId="Estiloimportado1">
    <w:name w:val="Estilo importado 1"/>
    <w:rsid w:val="004C478C"/>
    <w:pPr>
      <w:numPr>
        <w:numId w:val="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504</Words>
  <Characters>2776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Congreso Tributario</dc:title>
  <dc:subject/>
  <dc:creator>Yo</dc:creator>
  <cp:keywords/>
  <dc:description/>
  <cp:lastModifiedBy>Hernán Castillejo</cp:lastModifiedBy>
  <cp:revision>2</cp:revision>
  <cp:lastPrinted>2015-10-09T21:39:00Z</cp:lastPrinted>
  <dcterms:created xsi:type="dcterms:W3CDTF">2015-10-22T15:16:00Z</dcterms:created>
  <dcterms:modified xsi:type="dcterms:W3CDTF">2015-10-22T15:16:00Z</dcterms:modified>
</cp:coreProperties>
</file>